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35BC" w14:textId="77777777" w:rsidR="00157B2D" w:rsidRDefault="00157B2D" w:rsidP="00556AD2">
      <w:pPr>
        <w:spacing w:line="240" w:lineRule="auto"/>
        <w:jc w:val="center"/>
        <w:rPr>
          <w:rFonts w:ascii="Arial" w:hAnsi="Arial" w:cs="Arial"/>
          <w:sz w:val="40"/>
          <w:szCs w:val="40"/>
        </w:rPr>
      </w:pPr>
      <w:bookmarkStart w:id="0" w:name="_GoBack"/>
      <w:bookmarkEnd w:id="0"/>
      <w:r w:rsidRPr="00157B2D">
        <w:rPr>
          <w:rFonts w:ascii="Arial" w:hAnsi="Arial" w:cs="Arial"/>
          <w:sz w:val="40"/>
          <w:szCs w:val="40"/>
        </w:rPr>
        <w:t>The Office of Acquisition and Logistics Management Newsletter</w:t>
      </w:r>
    </w:p>
    <w:p w14:paraId="350E50CD" w14:textId="77777777" w:rsidR="00157B2D" w:rsidRDefault="00DD4480" w:rsidP="00556AD2">
      <w:pPr>
        <w:spacing w:line="240" w:lineRule="auto"/>
        <w:jc w:val="center"/>
        <w:rPr>
          <w:rFonts w:ascii="Arial" w:hAnsi="Arial" w:cs="Arial"/>
          <w:sz w:val="40"/>
          <w:szCs w:val="40"/>
        </w:rPr>
      </w:pPr>
      <w:r>
        <w:rPr>
          <w:rFonts w:ascii="Arial" w:hAnsi="Arial" w:cs="Arial"/>
          <w:sz w:val="40"/>
          <w:szCs w:val="40"/>
        </w:rPr>
        <w:t xml:space="preserve">2020 </w:t>
      </w:r>
      <w:r w:rsidR="00157B2D">
        <w:rPr>
          <w:rFonts w:ascii="Arial" w:hAnsi="Arial" w:cs="Arial"/>
          <w:sz w:val="40"/>
          <w:szCs w:val="40"/>
        </w:rPr>
        <w:t>2</w:t>
      </w:r>
      <w:r w:rsidR="00157B2D" w:rsidRPr="00157B2D">
        <w:rPr>
          <w:rFonts w:ascii="Arial" w:hAnsi="Arial" w:cs="Arial"/>
          <w:sz w:val="40"/>
          <w:szCs w:val="40"/>
          <w:vertAlign w:val="superscript"/>
        </w:rPr>
        <w:t>nd</w:t>
      </w:r>
      <w:r w:rsidR="00157B2D">
        <w:rPr>
          <w:rFonts w:ascii="Arial" w:hAnsi="Arial" w:cs="Arial"/>
          <w:sz w:val="40"/>
          <w:szCs w:val="40"/>
        </w:rPr>
        <w:t xml:space="preserve"> Quarter </w:t>
      </w:r>
    </w:p>
    <w:p w14:paraId="013EAAB5" w14:textId="77777777" w:rsidR="00B27D52" w:rsidRPr="002418E7" w:rsidRDefault="0058729B" w:rsidP="00556AD2">
      <w:pPr>
        <w:spacing w:line="240" w:lineRule="auto"/>
        <w:jc w:val="center"/>
        <w:rPr>
          <w:rFonts w:ascii="Arial" w:hAnsi="Arial" w:cs="Arial"/>
          <w:sz w:val="40"/>
          <w:szCs w:val="40"/>
        </w:rPr>
      </w:pPr>
      <w:r w:rsidRPr="002418E7">
        <w:rPr>
          <w:rFonts w:ascii="Arial" w:hAnsi="Arial" w:cs="Arial"/>
          <w:sz w:val="40"/>
          <w:szCs w:val="40"/>
        </w:rPr>
        <w:t>COVID-19</w:t>
      </w:r>
      <w:r w:rsidR="004667B5">
        <w:rPr>
          <w:rFonts w:ascii="Arial" w:hAnsi="Arial" w:cs="Arial"/>
          <w:sz w:val="40"/>
          <w:szCs w:val="40"/>
        </w:rPr>
        <w:t xml:space="preserve"> Procurement Guidance Available  </w:t>
      </w:r>
    </w:p>
    <w:p w14:paraId="5C279A40" w14:textId="3BE3B514" w:rsidR="0058729B" w:rsidRPr="00D733A4" w:rsidRDefault="00F07A30" w:rsidP="00556AD2">
      <w:pPr>
        <w:spacing w:line="240" w:lineRule="auto"/>
        <w:rPr>
          <w:sz w:val="24"/>
          <w:szCs w:val="24"/>
        </w:rPr>
      </w:pPr>
      <w:r>
        <w:rPr>
          <w:sz w:val="24"/>
          <w:szCs w:val="24"/>
        </w:rPr>
        <w:t>A COVID-19 Procurement resource page</w:t>
      </w:r>
      <w:r w:rsidRPr="00D733A4">
        <w:rPr>
          <w:sz w:val="24"/>
          <w:szCs w:val="24"/>
        </w:rPr>
        <w:t xml:space="preserve"> </w:t>
      </w:r>
      <w:r>
        <w:rPr>
          <w:sz w:val="24"/>
          <w:szCs w:val="24"/>
        </w:rPr>
        <w:t xml:space="preserve">has been established for the NIH acquisition community.  This guidance is maintained and will be </w:t>
      </w:r>
      <w:r w:rsidR="004667B5" w:rsidRPr="00D733A4">
        <w:rPr>
          <w:sz w:val="24"/>
          <w:szCs w:val="24"/>
        </w:rPr>
        <w:t xml:space="preserve">supplemented </w:t>
      </w:r>
      <w:r w:rsidR="00D17BB8" w:rsidRPr="00D733A4">
        <w:rPr>
          <w:sz w:val="24"/>
          <w:szCs w:val="24"/>
        </w:rPr>
        <w:t>as we continue to learn more about</w:t>
      </w:r>
      <w:r w:rsidR="004667B5" w:rsidRPr="00D733A4">
        <w:rPr>
          <w:sz w:val="24"/>
          <w:szCs w:val="24"/>
        </w:rPr>
        <w:t xml:space="preserve"> how this situation will affect the administration of procurement actions at the NIH.</w:t>
      </w:r>
      <w:r w:rsidR="00D17BB8" w:rsidRPr="00D733A4">
        <w:rPr>
          <w:sz w:val="24"/>
          <w:szCs w:val="24"/>
        </w:rPr>
        <w:t xml:space="preserve">  </w:t>
      </w:r>
      <w:r w:rsidR="0058729B" w:rsidRPr="00D733A4">
        <w:rPr>
          <w:sz w:val="24"/>
          <w:szCs w:val="24"/>
        </w:rPr>
        <w:t xml:space="preserve">Please visit </w:t>
      </w:r>
      <w:r>
        <w:rPr>
          <w:sz w:val="24"/>
          <w:szCs w:val="24"/>
        </w:rPr>
        <w:t xml:space="preserve">the </w:t>
      </w:r>
      <w:hyperlink r:id="rId5" w:history="1">
        <w:r w:rsidR="0058729B" w:rsidRPr="00D733A4">
          <w:rPr>
            <w:rStyle w:val="Hyperlink"/>
            <w:sz w:val="24"/>
            <w:szCs w:val="24"/>
          </w:rPr>
          <w:t>ASRB SharePoint</w:t>
        </w:r>
      </w:hyperlink>
      <w:r>
        <w:rPr>
          <w:sz w:val="24"/>
          <w:szCs w:val="24"/>
        </w:rPr>
        <w:t xml:space="preserve"> </w:t>
      </w:r>
      <w:r w:rsidR="00CD557B">
        <w:rPr>
          <w:sz w:val="24"/>
          <w:szCs w:val="24"/>
        </w:rPr>
        <w:t>h</w:t>
      </w:r>
      <w:r>
        <w:rPr>
          <w:sz w:val="24"/>
          <w:szCs w:val="24"/>
        </w:rPr>
        <w:t xml:space="preserve">ome page for more </w:t>
      </w:r>
      <w:r w:rsidR="00CD557B">
        <w:rPr>
          <w:sz w:val="24"/>
          <w:szCs w:val="24"/>
        </w:rPr>
        <w:t>information</w:t>
      </w:r>
      <w:r>
        <w:rPr>
          <w:sz w:val="24"/>
          <w:szCs w:val="24"/>
        </w:rPr>
        <w:t xml:space="preserve">. </w:t>
      </w:r>
      <w:r w:rsidR="0058729B" w:rsidRPr="00D733A4">
        <w:rPr>
          <w:sz w:val="24"/>
          <w:szCs w:val="24"/>
        </w:rPr>
        <w:t xml:space="preserve"> </w:t>
      </w:r>
    </w:p>
    <w:p w14:paraId="76556170" w14:textId="77777777" w:rsidR="00D733A4" w:rsidRDefault="00D733A4" w:rsidP="00556AD2">
      <w:pPr>
        <w:spacing w:after="0" w:line="240" w:lineRule="auto"/>
      </w:pPr>
    </w:p>
    <w:p w14:paraId="44880956" w14:textId="276A899A" w:rsidR="00D733A4" w:rsidRDefault="00D733A4" w:rsidP="00556AD2">
      <w:pPr>
        <w:spacing w:after="120" w:line="240" w:lineRule="auto"/>
        <w:jc w:val="center"/>
        <w:rPr>
          <w:rFonts w:ascii="Arial" w:eastAsia="Calibri" w:hAnsi="Arial" w:cs="Arial"/>
          <w:sz w:val="40"/>
          <w:szCs w:val="40"/>
        </w:rPr>
      </w:pPr>
      <w:r w:rsidRPr="00D733A4">
        <w:rPr>
          <w:rFonts w:ascii="Arial" w:eastAsia="Calibri" w:hAnsi="Arial" w:cs="Arial"/>
          <w:sz w:val="40"/>
          <w:szCs w:val="40"/>
        </w:rPr>
        <w:t>Automated Tracking of COVID-19 Purchase Card Transactions</w:t>
      </w:r>
      <w:r w:rsidR="00556AD2">
        <w:rPr>
          <w:rFonts w:ascii="Arial" w:eastAsia="Calibri" w:hAnsi="Arial" w:cs="Arial"/>
          <w:sz w:val="40"/>
          <w:szCs w:val="40"/>
        </w:rPr>
        <w:t xml:space="preserve"> for Micro-Purchases</w:t>
      </w:r>
    </w:p>
    <w:p w14:paraId="1A95B8B3" w14:textId="77777777" w:rsidR="00556AD2" w:rsidRPr="00556AD2" w:rsidRDefault="00556AD2" w:rsidP="00556AD2">
      <w:pPr>
        <w:spacing w:line="240" w:lineRule="auto"/>
        <w:rPr>
          <w:sz w:val="24"/>
          <w:szCs w:val="24"/>
        </w:rPr>
      </w:pPr>
      <w:r w:rsidRPr="00556AD2">
        <w:rPr>
          <w:sz w:val="24"/>
          <w:szCs w:val="24"/>
        </w:rPr>
        <w:t xml:space="preserve">The Office of Management and Budget (OMB) issued memo M-20-21 that requires all spending related to the COVID-19 response be tracked and reported. This includes micro-purchases made using the Government Commercial Purchase Card (GCPC). Upon initial issuance of the memo, many ICs began tracking purchases manually using a spreadsheet or an electronic fillable log that was provided.  </w:t>
      </w:r>
    </w:p>
    <w:p w14:paraId="7CDB5B0E" w14:textId="77777777" w:rsidR="00556AD2" w:rsidRPr="00556AD2" w:rsidRDefault="00556AD2" w:rsidP="00556AD2">
      <w:pPr>
        <w:spacing w:line="240" w:lineRule="auto"/>
        <w:rPr>
          <w:sz w:val="24"/>
          <w:szCs w:val="24"/>
        </w:rPr>
      </w:pPr>
      <w:r w:rsidRPr="00556AD2">
        <w:rPr>
          <w:sz w:val="24"/>
          <w:szCs w:val="24"/>
        </w:rPr>
        <w:t xml:space="preserve">To eliminate this manual process and streamline the reporting to HHS and OMB, the NIH Purchase Card Program worked with Budget Officers, NBS, </w:t>
      </w:r>
      <w:proofErr w:type="spellStart"/>
      <w:r w:rsidRPr="00556AD2">
        <w:rPr>
          <w:sz w:val="24"/>
          <w:szCs w:val="24"/>
        </w:rPr>
        <w:t>nVision</w:t>
      </w:r>
      <w:proofErr w:type="spellEnd"/>
      <w:r w:rsidRPr="00556AD2">
        <w:rPr>
          <w:sz w:val="24"/>
          <w:szCs w:val="24"/>
        </w:rPr>
        <w:t xml:space="preserve"> and other key stakeholders to implement an automated tracking process for micro-purchases related to COVID-19.  </w:t>
      </w:r>
    </w:p>
    <w:p w14:paraId="0641127D" w14:textId="77777777" w:rsidR="00556AD2" w:rsidRPr="00556AD2" w:rsidRDefault="00556AD2" w:rsidP="00556AD2">
      <w:pPr>
        <w:spacing w:line="240" w:lineRule="auto"/>
        <w:rPr>
          <w:sz w:val="24"/>
          <w:szCs w:val="24"/>
        </w:rPr>
      </w:pPr>
      <w:r w:rsidRPr="00556AD2">
        <w:rPr>
          <w:sz w:val="24"/>
          <w:szCs w:val="24"/>
        </w:rPr>
        <w:t xml:space="preserve">NBS notified the community in March that the </w:t>
      </w:r>
      <w:proofErr w:type="gramStart"/>
      <w:r w:rsidRPr="00556AD2">
        <w:rPr>
          <w:sz w:val="24"/>
          <w:szCs w:val="24"/>
        </w:rPr>
        <w:t>2020.500.COVID</w:t>
      </w:r>
      <w:proofErr w:type="gramEnd"/>
      <w:r w:rsidRPr="00556AD2">
        <w:rPr>
          <w:sz w:val="24"/>
          <w:szCs w:val="24"/>
        </w:rPr>
        <w:t xml:space="preserve">-19 task had been created in NBS for all CANs tied to single year, multi-year, and no year funds. For special supplemental funds, different COVID-19 tasks were established.  ICs should check with their Budget Officers for guidance on which task they should use.   </w:t>
      </w:r>
    </w:p>
    <w:p w14:paraId="096EF631" w14:textId="77777777" w:rsidR="00556AD2" w:rsidRPr="00556AD2" w:rsidRDefault="00556AD2" w:rsidP="00556AD2">
      <w:pPr>
        <w:spacing w:line="240" w:lineRule="auto"/>
        <w:rPr>
          <w:sz w:val="24"/>
          <w:szCs w:val="24"/>
        </w:rPr>
      </w:pPr>
      <w:r w:rsidRPr="00556AD2">
        <w:rPr>
          <w:sz w:val="24"/>
          <w:szCs w:val="24"/>
        </w:rPr>
        <w:t xml:space="preserve">Moving forward, if a COVID-19 task is used, ICs no longer need to manually track micro-purchases made using the GCPC. </w:t>
      </w:r>
      <w:proofErr w:type="spellStart"/>
      <w:r w:rsidRPr="00556AD2">
        <w:rPr>
          <w:sz w:val="24"/>
          <w:szCs w:val="24"/>
        </w:rPr>
        <w:t>nVision</w:t>
      </w:r>
      <w:proofErr w:type="spellEnd"/>
      <w:r w:rsidRPr="00556AD2">
        <w:rPr>
          <w:sz w:val="24"/>
          <w:szCs w:val="24"/>
        </w:rPr>
        <w:t xml:space="preserve"> has updated several financial and budgetary reports to include these COVID-19 task number filters so that ICs and OALM can run reports on all COVID-19 transactions as needed.  </w:t>
      </w:r>
    </w:p>
    <w:p w14:paraId="00E772CC" w14:textId="77777777" w:rsidR="00556AD2" w:rsidRPr="00556AD2" w:rsidRDefault="00556AD2" w:rsidP="00556AD2">
      <w:pPr>
        <w:spacing w:line="240" w:lineRule="auto"/>
        <w:rPr>
          <w:sz w:val="24"/>
          <w:szCs w:val="24"/>
        </w:rPr>
      </w:pPr>
      <w:r w:rsidRPr="00556AD2">
        <w:rPr>
          <w:sz w:val="24"/>
          <w:szCs w:val="24"/>
        </w:rPr>
        <w:t xml:space="preserve">This task filter has also been added to the </w:t>
      </w:r>
      <w:proofErr w:type="spellStart"/>
      <w:r w:rsidRPr="00556AD2">
        <w:rPr>
          <w:sz w:val="24"/>
          <w:szCs w:val="24"/>
        </w:rPr>
        <w:t>nVision</w:t>
      </w:r>
      <w:proofErr w:type="spellEnd"/>
      <w:r w:rsidRPr="00556AD2">
        <w:rPr>
          <w:sz w:val="24"/>
          <w:szCs w:val="24"/>
        </w:rPr>
        <w:t xml:space="preserve"> P-Card Dashboard. There are two </w:t>
      </w:r>
      <w:proofErr w:type="spellStart"/>
      <w:r w:rsidRPr="00556AD2">
        <w:rPr>
          <w:sz w:val="24"/>
          <w:szCs w:val="24"/>
        </w:rPr>
        <w:t>nVision</w:t>
      </w:r>
      <w:proofErr w:type="spellEnd"/>
      <w:r w:rsidRPr="00556AD2">
        <w:rPr>
          <w:sz w:val="24"/>
          <w:szCs w:val="24"/>
        </w:rPr>
        <w:t xml:space="preserve"> reports that can capture COVID-19 expenditures provided the IC utilized the correct fund/task configuration. This includes the ACQ-12/ Obligation Details report which shows all expenditures and the ACQ-67/All </w:t>
      </w:r>
      <w:proofErr w:type="spellStart"/>
      <w:r w:rsidRPr="00556AD2">
        <w:rPr>
          <w:sz w:val="24"/>
          <w:szCs w:val="24"/>
        </w:rPr>
        <w:t>PCard</w:t>
      </w:r>
      <w:proofErr w:type="spellEnd"/>
      <w:r w:rsidRPr="00556AD2">
        <w:rPr>
          <w:sz w:val="24"/>
          <w:szCs w:val="24"/>
        </w:rPr>
        <w:t xml:space="preserve"> Log Transactions which shows only purchase card transactions. A task number was added to these reports and can be used to filter specific COVID-19 expenditures.   </w:t>
      </w:r>
    </w:p>
    <w:p w14:paraId="4A2BAA0A" w14:textId="77777777" w:rsidR="00556AD2" w:rsidRPr="00556AD2" w:rsidRDefault="00556AD2" w:rsidP="00556AD2">
      <w:pPr>
        <w:spacing w:line="240" w:lineRule="auto"/>
        <w:rPr>
          <w:sz w:val="24"/>
          <w:szCs w:val="24"/>
        </w:rPr>
      </w:pPr>
      <w:r w:rsidRPr="00556AD2">
        <w:rPr>
          <w:sz w:val="24"/>
          <w:szCs w:val="24"/>
        </w:rPr>
        <w:t xml:space="preserve">For additional information and instructions on how to utilize these reports, please read below.    </w:t>
      </w:r>
    </w:p>
    <w:p w14:paraId="0BD039ED" w14:textId="77777777" w:rsidR="00556AD2" w:rsidRPr="00556AD2" w:rsidRDefault="00556AD2" w:rsidP="00556AD2">
      <w:pPr>
        <w:spacing w:line="240" w:lineRule="auto"/>
        <w:rPr>
          <w:rStyle w:val="Strong"/>
        </w:rPr>
      </w:pPr>
      <w:r w:rsidRPr="00556AD2">
        <w:rPr>
          <w:rStyle w:val="Strong"/>
        </w:rPr>
        <w:t xml:space="preserve">Summary of impacts to </w:t>
      </w:r>
      <w:proofErr w:type="spellStart"/>
      <w:r w:rsidRPr="00556AD2">
        <w:rPr>
          <w:rStyle w:val="Strong"/>
        </w:rPr>
        <w:t>nVision</w:t>
      </w:r>
      <w:proofErr w:type="spellEnd"/>
      <w:r w:rsidRPr="00556AD2">
        <w:rPr>
          <w:rStyle w:val="Strong"/>
        </w:rPr>
        <w:t xml:space="preserve"> Acquisitions Users</w:t>
      </w:r>
    </w:p>
    <w:p w14:paraId="295D2C5B" w14:textId="77777777" w:rsidR="00556AD2" w:rsidRPr="00556AD2" w:rsidRDefault="00556AD2" w:rsidP="00556AD2">
      <w:pPr>
        <w:spacing w:line="240" w:lineRule="auto"/>
        <w:rPr>
          <w:sz w:val="24"/>
          <w:szCs w:val="24"/>
        </w:rPr>
      </w:pPr>
      <w:proofErr w:type="spellStart"/>
      <w:r w:rsidRPr="00556AD2">
        <w:rPr>
          <w:sz w:val="24"/>
          <w:szCs w:val="24"/>
        </w:rPr>
        <w:t>nVision</w:t>
      </w:r>
      <w:proofErr w:type="spellEnd"/>
      <w:r w:rsidRPr="00556AD2">
        <w:rPr>
          <w:sz w:val="24"/>
          <w:szCs w:val="24"/>
        </w:rPr>
        <w:t xml:space="preserve"> Reports: Attribute Filter for Task Number</w:t>
      </w:r>
    </w:p>
    <w:p w14:paraId="75F74DF8" w14:textId="19B8FC8B" w:rsidR="00556AD2" w:rsidRPr="00556AD2" w:rsidRDefault="00556AD2" w:rsidP="00556AD2">
      <w:pPr>
        <w:spacing w:line="240" w:lineRule="auto"/>
        <w:rPr>
          <w:sz w:val="24"/>
          <w:szCs w:val="24"/>
        </w:rPr>
      </w:pPr>
      <w:r w:rsidRPr="00556AD2">
        <w:rPr>
          <w:sz w:val="24"/>
          <w:szCs w:val="24"/>
        </w:rPr>
        <w:t>Users can track transaction activity associated with the COVID-19 related task number created by NBS for commitments and obligations.</w:t>
      </w:r>
    </w:p>
    <w:p w14:paraId="2B77294B" w14:textId="77777777" w:rsidR="00556AD2" w:rsidRPr="00556AD2" w:rsidRDefault="00556AD2" w:rsidP="00556AD2">
      <w:pPr>
        <w:spacing w:line="240" w:lineRule="auto"/>
        <w:rPr>
          <w:sz w:val="24"/>
          <w:szCs w:val="24"/>
        </w:rPr>
      </w:pPr>
      <w:proofErr w:type="spellStart"/>
      <w:r w:rsidRPr="00556AD2">
        <w:rPr>
          <w:sz w:val="24"/>
          <w:szCs w:val="24"/>
        </w:rPr>
        <w:t>nVision</w:t>
      </w:r>
      <w:proofErr w:type="spellEnd"/>
      <w:r w:rsidRPr="00556AD2">
        <w:rPr>
          <w:sz w:val="24"/>
          <w:szCs w:val="24"/>
        </w:rPr>
        <w:t xml:space="preserve"> added the Task Number (Task No.) prompt and attribute to the following </w:t>
      </w:r>
      <w:proofErr w:type="spellStart"/>
      <w:r w:rsidRPr="00556AD2">
        <w:rPr>
          <w:sz w:val="24"/>
          <w:szCs w:val="24"/>
        </w:rPr>
        <w:t>nVision</w:t>
      </w:r>
      <w:proofErr w:type="spellEnd"/>
      <w:r w:rsidRPr="00556AD2">
        <w:rPr>
          <w:sz w:val="24"/>
          <w:szCs w:val="24"/>
        </w:rPr>
        <w:t xml:space="preserve"> reports:</w:t>
      </w:r>
    </w:p>
    <w:p w14:paraId="1577E203" w14:textId="77777777" w:rsidR="00556AD2" w:rsidRPr="00556AD2" w:rsidRDefault="00556AD2" w:rsidP="00556AD2">
      <w:pPr>
        <w:pStyle w:val="ListParagraph"/>
        <w:numPr>
          <w:ilvl w:val="0"/>
          <w:numId w:val="1"/>
        </w:numPr>
        <w:contextualSpacing w:val="0"/>
        <w:rPr>
          <w:rFonts w:asciiTheme="minorHAnsi" w:hAnsiTheme="minorHAnsi" w:cstheme="minorBidi"/>
          <w:sz w:val="24"/>
          <w:szCs w:val="24"/>
        </w:rPr>
      </w:pPr>
      <w:r w:rsidRPr="00556AD2">
        <w:rPr>
          <w:rFonts w:asciiTheme="minorHAnsi" w:hAnsiTheme="minorHAnsi" w:cstheme="minorBidi"/>
          <w:sz w:val="24"/>
          <w:szCs w:val="24"/>
        </w:rPr>
        <w:t xml:space="preserve">Obligations Details (ACQ-12) - This report provides detailed award line obligation information for a specified award source. </w:t>
      </w:r>
    </w:p>
    <w:p w14:paraId="242A0366" w14:textId="6577D847" w:rsidR="00556AD2" w:rsidRPr="00556AD2" w:rsidRDefault="00556AD2" w:rsidP="00556AD2">
      <w:pPr>
        <w:pStyle w:val="ListParagraph"/>
        <w:numPr>
          <w:ilvl w:val="0"/>
          <w:numId w:val="1"/>
        </w:numPr>
        <w:spacing w:after="120"/>
        <w:contextualSpacing w:val="0"/>
        <w:rPr>
          <w:rFonts w:asciiTheme="minorHAnsi" w:hAnsiTheme="minorHAnsi" w:cstheme="minorBidi"/>
          <w:sz w:val="24"/>
          <w:szCs w:val="24"/>
        </w:rPr>
      </w:pPr>
      <w:r w:rsidRPr="00556AD2">
        <w:rPr>
          <w:rFonts w:asciiTheme="minorHAnsi" w:hAnsiTheme="minorHAnsi" w:cstheme="minorBidi"/>
          <w:sz w:val="24"/>
          <w:szCs w:val="24"/>
        </w:rPr>
        <w:t>All P-Card Log Transactions (ACQ-67) - This report provides details of all P-Card log transactions created by a Cardholder during a specified date range.</w:t>
      </w:r>
    </w:p>
    <w:p w14:paraId="50DB5177" w14:textId="77777777" w:rsidR="00556AD2" w:rsidRPr="00556AD2" w:rsidRDefault="00556AD2" w:rsidP="00556AD2">
      <w:pPr>
        <w:spacing w:line="240" w:lineRule="auto"/>
        <w:rPr>
          <w:sz w:val="24"/>
          <w:szCs w:val="24"/>
        </w:rPr>
      </w:pPr>
      <w:r w:rsidRPr="00556AD2">
        <w:rPr>
          <w:sz w:val="24"/>
          <w:szCs w:val="24"/>
        </w:rPr>
        <w:t>P-Card Dashboard: New Attributes for COVID-19 Purchase Tracking</w:t>
      </w:r>
    </w:p>
    <w:p w14:paraId="08D13241" w14:textId="77777777" w:rsidR="00556AD2" w:rsidRPr="00556AD2" w:rsidRDefault="00556AD2" w:rsidP="00556AD2">
      <w:pPr>
        <w:spacing w:line="240" w:lineRule="auto"/>
        <w:rPr>
          <w:sz w:val="24"/>
          <w:szCs w:val="24"/>
        </w:rPr>
      </w:pPr>
      <w:proofErr w:type="spellStart"/>
      <w:r w:rsidRPr="00556AD2">
        <w:rPr>
          <w:sz w:val="24"/>
          <w:szCs w:val="24"/>
        </w:rPr>
        <w:t>nVision</w:t>
      </w:r>
      <w:proofErr w:type="spellEnd"/>
      <w:r w:rsidRPr="00556AD2">
        <w:rPr>
          <w:sz w:val="24"/>
          <w:szCs w:val="24"/>
        </w:rPr>
        <w:t xml:space="preserve"> added two new attributes to help users track COVID-19 related transactions in the P-Card Summary and P-Card Transaction Details tab:</w:t>
      </w:r>
    </w:p>
    <w:p w14:paraId="5C8189EE" w14:textId="77777777" w:rsidR="00556AD2" w:rsidRPr="00556AD2" w:rsidRDefault="00556AD2" w:rsidP="00556AD2">
      <w:pPr>
        <w:pStyle w:val="ListParagraph"/>
        <w:numPr>
          <w:ilvl w:val="0"/>
          <w:numId w:val="2"/>
        </w:numPr>
        <w:contextualSpacing w:val="0"/>
        <w:rPr>
          <w:rFonts w:asciiTheme="minorHAnsi" w:hAnsiTheme="minorHAnsi" w:cstheme="minorBidi"/>
          <w:sz w:val="24"/>
          <w:szCs w:val="24"/>
        </w:rPr>
      </w:pPr>
      <w:r w:rsidRPr="00556AD2">
        <w:rPr>
          <w:rFonts w:asciiTheme="minorHAnsi" w:hAnsiTheme="minorHAnsi" w:cstheme="minorBidi"/>
          <w:sz w:val="24"/>
          <w:szCs w:val="24"/>
        </w:rPr>
        <w:t>Task Number (Task No): Shows the COVID-19 related task number associated with the P-Card transaction.</w:t>
      </w:r>
    </w:p>
    <w:p w14:paraId="2B4393F9" w14:textId="6F757246" w:rsidR="00556AD2" w:rsidRPr="00556AD2" w:rsidRDefault="00556AD2" w:rsidP="00556AD2">
      <w:pPr>
        <w:pStyle w:val="ListParagraph"/>
        <w:numPr>
          <w:ilvl w:val="0"/>
          <w:numId w:val="2"/>
        </w:numPr>
        <w:spacing w:after="120"/>
        <w:contextualSpacing w:val="0"/>
        <w:rPr>
          <w:rFonts w:asciiTheme="minorHAnsi" w:hAnsiTheme="minorHAnsi" w:cstheme="minorBidi"/>
          <w:sz w:val="24"/>
          <w:szCs w:val="24"/>
        </w:rPr>
      </w:pPr>
      <w:r w:rsidRPr="00556AD2">
        <w:rPr>
          <w:rFonts w:asciiTheme="minorHAnsi" w:hAnsiTheme="minorHAnsi" w:cstheme="minorBidi"/>
          <w:sz w:val="24"/>
          <w:szCs w:val="24"/>
        </w:rPr>
        <w:t>Transaction CAN: Shows the associated CAN related to the P-Card transaction.</w:t>
      </w:r>
    </w:p>
    <w:p w14:paraId="740985F9" w14:textId="51ECE02E" w:rsidR="00556AD2" w:rsidRPr="00556AD2" w:rsidRDefault="00556AD2" w:rsidP="00556AD2">
      <w:pPr>
        <w:pStyle w:val="xmsonormal"/>
        <w:spacing w:after="120"/>
        <w:rPr>
          <w:rFonts w:asciiTheme="minorHAnsi" w:hAnsiTheme="minorHAnsi" w:cstheme="minorBidi"/>
          <w:sz w:val="24"/>
          <w:szCs w:val="24"/>
        </w:rPr>
      </w:pPr>
      <w:r w:rsidRPr="00556AD2">
        <w:rPr>
          <w:rFonts w:asciiTheme="minorHAnsi" w:hAnsiTheme="minorHAnsi" w:cstheme="minorBidi"/>
          <w:sz w:val="24"/>
          <w:szCs w:val="24"/>
        </w:rPr>
        <w:t xml:space="preserve">The </w:t>
      </w:r>
      <w:proofErr w:type="spellStart"/>
      <w:r w:rsidRPr="00556AD2">
        <w:rPr>
          <w:rFonts w:asciiTheme="minorHAnsi" w:hAnsiTheme="minorHAnsi" w:cstheme="minorBidi"/>
          <w:sz w:val="24"/>
          <w:szCs w:val="24"/>
        </w:rPr>
        <w:t>nVision</w:t>
      </w:r>
      <w:proofErr w:type="spellEnd"/>
      <w:r w:rsidRPr="00556AD2">
        <w:rPr>
          <w:rFonts w:asciiTheme="minorHAnsi" w:hAnsiTheme="minorHAnsi" w:cstheme="minorBidi"/>
          <w:sz w:val="24"/>
          <w:szCs w:val="24"/>
        </w:rPr>
        <w:t xml:space="preserve"> Reports and P-Card Dashboard applications may be accessed through the </w:t>
      </w:r>
      <w:hyperlink r:id="rId6" w:history="1">
        <w:proofErr w:type="spellStart"/>
        <w:r w:rsidRPr="00556AD2">
          <w:rPr>
            <w:rFonts w:asciiTheme="minorHAnsi" w:hAnsiTheme="minorHAnsi" w:cstheme="minorBidi"/>
          </w:rPr>
          <w:t>nVision</w:t>
        </w:r>
        <w:proofErr w:type="spellEnd"/>
        <w:r w:rsidRPr="00556AD2">
          <w:rPr>
            <w:rFonts w:asciiTheme="minorHAnsi" w:hAnsiTheme="minorHAnsi" w:cstheme="minorBidi"/>
          </w:rPr>
          <w:t xml:space="preserve"> Main Portal</w:t>
        </w:r>
      </w:hyperlink>
      <w:r w:rsidRPr="00556AD2">
        <w:rPr>
          <w:rFonts w:asciiTheme="minorHAnsi" w:hAnsiTheme="minorHAnsi" w:cstheme="minorBidi"/>
          <w:sz w:val="24"/>
          <w:szCs w:val="24"/>
        </w:rPr>
        <w:t>.</w:t>
      </w:r>
    </w:p>
    <w:p w14:paraId="2C6593B9" w14:textId="77777777" w:rsidR="00556AD2" w:rsidRPr="00556AD2" w:rsidRDefault="00556AD2" w:rsidP="00556AD2">
      <w:pPr>
        <w:spacing w:after="240" w:line="240" w:lineRule="auto"/>
        <w:rPr>
          <w:sz w:val="24"/>
          <w:szCs w:val="24"/>
        </w:rPr>
      </w:pPr>
      <w:r w:rsidRPr="00556AD2">
        <w:rPr>
          <w:sz w:val="24"/>
          <w:szCs w:val="24"/>
        </w:rPr>
        <w:t xml:space="preserve">If you need assistance or have questions related to this release, please contact </w:t>
      </w:r>
      <w:hyperlink r:id="rId7" w:history="1">
        <w:proofErr w:type="spellStart"/>
        <w:r w:rsidRPr="00556AD2">
          <w:t>nVision</w:t>
        </w:r>
        <w:proofErr w:type="spellEnd"/>
        <w:r w:rsidRPr="00556AD2">
          <w:t xml:space="preserve"> Support</w:t>
        </w:r>
      </w:hyperlink>
      <w:r w:rsidRPr="00556AD2">
        <w:rPr>
          <w:sz w:val="24"/>
          <w:szCs w:val="24"/>
        </w:rPr>
        <w:t>.</w:t>
      </w:r>
    </w:p>
    <w:p w14:paraId="4FE0FA32" w14:textId="77777777" w:rsidR="00556AD2" w:rsidRPr="00556AD2" w:rsidRDefault="00556AD2" w:rsidP="00556AD2">
      <w:pPr>
        <w:spacing w:after="0" w:line="240" w:lineRule="auto"/>
        <w:rPr>
          <w:sz w:val="24"/>
          <w:szCs w:val="24"/>
        </w:rPr>
      </w:pPr>
      <w:r w:rsidRPr="00556AD2">
        <w:rPr>
          <w:sz w:val="24"/>
          <w:szCs w:val="24"/>
        </w:rPr>
        <w:t>Thank You,</w:t>
      </w:r>
    </w:p>
    <w:p w14:paraId="04EB2FC7" w14:textId="77777777" w:rsidR="00556AD2" w:rsidRPr="00556AD2" w:rsidRDefault="00556AD2" w:rsidP="00556AD2">
      <w:pPr>
        <w:spacing w:after="0" w:line="240" w:lineRule="auto"/>
        <w:rPr>
          <w:sz w:val="24"/>
          <w:szCs w:val="24"/>
        </w:rPr>
      </w:pPr>
      <w:proofErr w:type="spellStart"/>
      <w:r w:rsidRPr="00556AD2">
        <w:rPr>
          <w:sz w:val="24"/>
          <w:szCs w:val="24"/>
        </w:rPr>
        <w:t>nVision</w:t>
      </w:r>
      <w:proofErr w:type="spellEnd"/>
      <w:r w:rsidRPr="00556AD2">
        <w:rPr>
          <w:sz w:val="24"/>
          <w:szCs w:val="24"/>
        </w:rPr>
        <w:t xml:space="preserve"> Team</w:t>
      </w:r>
    </w:p>
    <w:p w14:paraId="57681E3D" w14:textId="26943F9A" w:rsidR="00556AD2" w:rsidRPr="00556AD2" w:rsidRDefault="00556AD2" w:rsidP="00556AD2">
      <w:pPr>
        <w:spacing w:after="0" w:line="240" w:lineRule="auto"/>
        <w:rPr>
          <w:sz w:val="24"/>
          <w:szCs w:val="24"/>
        </w:rPr>
      </w:pPr>
      <w:proofErr w:type="spellStart"/>
      <w:r w:rsidRPr="00556AD2">
        <w:rPr>
          <w:sz w:val="24"/>
          <w:szCs w:val="24"/>
        </w:rPr>
        <w:t>nVision</w:t>
      </w:r>
      <w:proofErr w:type="spellEnd"/>
      <w:r w:rsidRPr="00556AD2">
        <w:rPr>
          <w:sz w:val="24"/>
          <w:szCs w:val="24"/>
        </w:rPr>
        <w:t xml:space="preserve"> Enabling Data-Driven Decision Making</w:t>
      </w:r>
    </w:p>
    <w:p w14:paraId="3D2DA167" w14:textId="63AD7F14" w:rsidR="00556AD2" w:rsidRPr="00556AD2" w:rsidRDefault="00556AD2" w:rsidP="00556AD2">
      <w:pPr>
        <w:spacing w:before="120" w:after="120" w:line="240" w:lineRule="auto"/>
        <w:rPr>
          <w:rFonts w:ascii="Arial" w:hAnsi="Arial" w:cs="Arial"/>
          <w:sz w:val="24"/>
          <w:szCs w:val="24"/>
        </w:rPr>
      </w:pPr>
      <w:r w:rsidRPr="00556AD2">
        <w:rPr>
          <w:sz w:val="24"/>
          <w:szCs w:val="24"/>
        </w:rPr>
        <w:t xml:space="preserve">Please direct any questions to the NIH Purchase Card </w:t>
      </w:r>
      <w:proofErr w:type="spellStart"/>
      <w:r w:rsidRPr="00556AD2">
        <w:rPr>
          <w:sz w:val="24"/>
          <w:szCs w:val="24"/>
        </w:rPr>
        <w:t>HelpDesk</w:t>
      </w:r>
      <w:proofErr w:type="spellEnd"/>
      <w:r w:rsidRPr="00556AD2">
        <w:rPr>
          <w:sz w:val="24"/>
          <w:szCs w:val="24"/>
        </w:rPr>
        <w:t xml:space="preserve"> at </w:t>
      </w:r>
      <w:hyperlink r:id="rId8" w:history="1">
        <w:r w:rsidR="0090145C" w:rsidRPr="00D42B2B">
          <w:rPr>
            <w:rStyle w:val="Hyperlink"/>
            <w:sz w:val="24"/>
            <w:szCs w:val="24"/>
          </w:rPr>
          <w:t>Creditcard@OD.NIH.GOV</w:t>
        </w:r>
      </w:hyperlink>
      <w:r w:rsidRPr="00556AD2">
        <w:rPr>
          <w:sz w:val="24"/>
          <w:szCs w:val="24"/>
        </w:rPr>
        <w:t>.</w:t>
      </w:r>
    </w:p>
    <w:p w14:paraId="31DB07A1" w14:textId="77777777" w:rsidR="00CD557B" w:rsidRDefault="00CD557B" w:rsidP="00556AD2">
      <w:pPr>
        <w:spacing w:after="0" w:line="240" w:lineRule="auto"/>
        <w:rPr>
          <w:rFonts w:eastAsia="Calibri" w:cstheme="minorHAnsi"/>
          <w:sz w:val="24"/>
          <w:szCs w:val="24"/>
        </w:rPr>
      </w:pPr>
    </w:p>
    <w:p w14:paraId="5F04CCDF" w14:textId="77777777" w:rsidR="00BA5574" w:rsidRPr="00BA5574" w:rsidRDefault="00BA5574" w:rsidP="00556AD2">
      <w:pPr>
        <w:spacing w:line="240" w:lineRule="auto"/>
        <w:jc w:val="center"/>
        <w:rPr>
          <w:rFonts w:ascii="Calibri" w:eastAsia="Calibri" w:hAnsi="Calibri" w:cs="Times New Roman"/>
        </w:rPr>
      </w:pPr>
      <w:r w:rsidRPr="00BA5574">
        <w:rPr>
          <w:rFonts w:ascii="Arial" w:eastAsia="Calibri" w:hAnsi="Arial" w:cs="Arial"/>
          <w:sz w:val="40"/>
          <w:szCs w:val="40"/>
        </w:rPr>
        <w:t>The NIH Self Service Store and Personal Protective Equipment (PPE)</w:t>
      </w:r>
    </w:p>
    <w:p w14:paraId="335D3265" w14:textId="77777777" w:rsidR="00BA5574" w:rsidRPr="00BA5574" w:rsidRDefault="00BA5574" w:rsidP="00556AD2">
      <w:pPr>
        <w:spacing w:line="240" w:lineRule="auto"/>
        <w:rPr>
          <w:rFonts w:ascii="Calibri" w:eastAsia="Calibri" w:hAnsi="Calibri" w:cs="Calibri"/>
          <w:sz w:val="24"/>
          <w:szCs w:val="24"/>
        </w:rPr>
      </w:pPr>
      <w:r w:rsidRPr="00BA5574">
        <w:rPr>
          <w:rFonts w:ascii="Calibri" w:eastAsia="Calibri" w:hAnsi="Calibri" w:cs="Calibri"/>
          <w:sz w:val="24"/>
          <w:szCs w:val="24"/>
        </w:rPr>
        <w:t xml:space="preserve">The NIH Service Store continues to supply PPE items.  These items are available to employees that work in labs, clinical settings or when personal protective equipment would routinely be used or when employees who are typically provided these items in their normal course of their employment.  Employees should follow their existing policies and procedures for procuring such items.  </w:t>
      </w:r>
    </w:p>
    <w:p w14:paraId="19630B2F" w14:textId="77777777" w:rsidR="00BA5574" w:rsidRPr="00BA5574" w:rsidRDefault="00BA5574" w:rsidP="00556AD2">
      <w:pPr>
        <w:spacing w:line="240" w:lineRule="auto"/>
        <w:rPr>
          <w:rFonts w:ascii="Calibri" w:eastAsia="Calibri" w:hAnsi="Calibri" w:cs="Calibri"/>
          <w:sz w:val="24"/>
          <w:szCs w:val="24"/>
        </w:rPr>
      </w:pPr>
      <w:r w:rsidRPr="00BA5574">
        <w:rPr>
          <w:rFonts w:ascii="Calibri" w:eastAsia="Calibri" w:hAnsi="Calibri" w:cs="Calibri"/>
          <w:sz w:val="24"/>
          <w:szCs w:val="24"/>
        </w:rPr>
        <w:t>For a list of Personal Protective Equipment (PPE) and Disinfecting and Cleaning Supplies which can be purchased from the NIH Supply Center please  click </w:t>
      </w:r>
      <w:hyperlink r:id="rId9" w:tgtFrame="_blank" w:history="1">
        <w:r w:rsidRPr="00BA5574">
          <w:rPr>
            <w:rFonts w:ascii="Calibri" w:eastAsia="Calibri" w:hAnsi="Calibri" w:cs="Calibri"/>
            <w:color w:val="0563C1" w:themeColor="hyperlink"/>
            <w:sz w:val="24"/>
            <w:szCs w:val="24"/>
            <w:u w:val="single"/>
          </w:rPr>
          <w:t>here</w:t>
        </w:r>
      </w:hyperlink>
      <w:r w:rsidRPr="00BA5574">
        <w:rPr>
          <w:rFonts w:ascii="Calibri" w:eastAsia="Calibri" w:hAnsi="Calibri" w:cs="Calibri"/>
          <w:sz w:val="24"/>
          <w:szCs w:val="24"/>
        </w:rPr>
        <w:t xml:space="preserve"> or contact the Customer Service team at 301-496-9156 or </w:t>
      </w:r>
      <w:hyperlink r:id="rId10" w:history="1">
        <w:r w:rsidRPr="00BA5574">
          <w:rPr>
            <w:rFonts w:ascii="Calibri" w:eastAsia="Calibri" w:hAnsi="Calibri" w:cs="Calibri"/>
            <w:color w:val="0563C1" w:themeColor="hyperlink"/>
            <w:sz w:val="24"/>
            <w:szCs w:val="24"/>
            <w:u w:val="single"/>
          </w:rPr>
          <w:t>NIHSC-customerservice@od.nih.gov</w:t>
        </w:r>
      </w:hyperlink>
      <w:r w:rsidRPr="00BA5574">
        <w:rPr>
          <w:rFonts w:ascii="Calibri" w:eastAsia="Calibri" w:hAnsi="Calibri" w:cs="Calibri"/>
          <w:sz w:val="24"/>
          <w:szCs w:val="24"/>
        </w:rPr>
        <w:t xml:space="preserve"> with questions.</w:t>
      </w:r>
    </w:p>
    <w:p w14:paraId="07B0D049" w14:textId="77777777" w:rsidR="00D17BB8" w:rsidRDefault="00D17BB8" w:rsidP="00556AD2">
      <w:pPr>
        <w:spacing w:line="240" w:lineRule="auto"/>
        <w:jc w:val="center"/>
        <w:rPr>
          <w:sz w:val="40"/>
          <w:szCs w:val="40"/>
        </w:rPr>
      </w:pPr>
    </w:p>
    <w:p w14:paraId="25333B91" w14:textId="77777777" w:rsidR="002418E7" w:rsidRPr="00643A76" w:rsidRDefault="002418E7" w:rsidP="00556AD2">
      <w:pPr>
        <w:spacing w:line="240" w:lineRule="auto"/>
        <w:jc w:val="center"/>
        <w:rPr>
          <w:rFonts w:ascii="Arial" w:hAnsi="Arial" w:cs="Arial"/>
          <w:sz w:val="40"/>
          <w:szCs w:val="40"/>
        </w:rPr>
      </w:pPr>
      <w:r w:rsidRPr="00643A76">
        <w:rPr>
          <w:rFonts w:ascii="Arial" w:hAnsi="Arial" w:cs="Arial"/>
          <w:sz w:val="40"/>
          <w:szCs w:val="40"/>
        </w:rPr>
        <w:t>G</w:t>
      </w:r>
      <w:r>
        <w:rPr>
          <w:rFonts w:ascii="Arial" w:hAnsi="Arial" w:cs="Arial"/>
          <w:sz w:val="40"/>
          <w:szCs w:val="40"/>
        </w:rPr>
        <w:t xml:space="preserve">overnment </w:t>
      </w:r>
      <w:r w:rsidRPr="00643A76">
        <w:rPr>
          <w:rFonts w:ascii="Arial" w:hAnsi="Arial" w:cs="Arial"/>
          <w:sz w:val="40"/>
          <w:szCs w:val="40"/>
        </w:rPr>
        <w:t xml:space="preserve">Accountability Office </w:t>
      </w:r>
      <w:r>
        <w:rPr>
          <w:rFonts w:ascii="Arial" w:hAnsi="Arial" w:cs="Arial"/>
          <w:sz w:val="40"/>
          <w:szCs w:val="40"/>
        </w:rPr>
        <w:t xml:space="preserve">(GAO) </w:t>
      </w:r>
      <w:r w:rsidRPr="00643A76">
        <w:rPr>
          <w:rFonts w:ascii="Arial" w:hAnsi="Arial" w:cs="Arial"/>
          <w:sz w:val="40"/>
          <w:szCs w:val="40"/>
        </w:rPr>
        <w:t>Fraud</w:t>
      </w:r>
      <w:r>
        <w:rPr>
          <w:rFonts w:ascii="Arial" w:hAnsi="Arial" w:cs="Arial"/>
          <w:sz w:val="40"/>
          <w:szCs w:val="40"/>
        </w:rPr>
        <w:t>N</w:t>
      </w:r>
      <w:r w:rsidRPr="00643A76">
        <w:rPr>
          <w:rFonts w:ascii="Arial" w:hAnsi="Arial" w:cs="Arial"/>
          <w:sz w:val="40"/>
          <w:szCs w:val="40"/>
        </w:rPr>
        <w:t xml:space="preserve">et Hotline </w:t>
      </w:r>
      <w:r>
        <w:rPr>
          <w:rFonts w:ascii="Arial" w:hAnsi="Arial" w:cs="Arial"/>
          <w:sz w:val="40"/>
          <w:szCs w:val="40"/>
        </w:rPr>
        <w:t>Assist in Fraud under COVID-19</w:t>
      </w:r>
    </w:p>
    <w:p w14:paraId="3980E23F" w14:textId="77777777" w:rsidR="002418E7" w:rsidRPr="00D733A4" w:rsidRDefault="002418E7" w:rsidP="00556AD2">
      <w:pPr>
        <w:spacing w:line="240" w:lineRule="auto"/>
        <w:rPr>
          <w:sz w:val="24"/>
          <w:szCs w:val="24"/>
        </w:rPr>
      </w:pPr>
      <w:r w:rsidRPr="00D733A4">
        <w:rPr>
          <w:sz w:val="24"/>
          <w:szCs w:val="24"/>
        </w:rPr>
        <w:t xml:space="preserve">GAO maintains the FraudNet hotline to support accountability across the federal government. Each agency is responsible for ensuring that all monies from the stimulus package end up at their intended purpose.  GAO is responsible for tracking the money.  As money is distributed under the Coronavirus Aid, Relief, and Economic Security (CARES) Act, the U.S. Government Accountability Office (GAO) is urging private citizens, government workers, contractors, and others to report allegations of fraud, waste, abuse, and mismanagement to FraudNet. </w:t>
      </w:r>
    </w:p>
    <w:p w14:paraId="20746A0C" w14:textId="77777777" w:rsidR="002418E7" w:rsidRPr="00D733A4" w:rsidRDefault="002418E7" w:rsidP="00556AD2">
      <w:pPr>
        <w:spacing w:line="240" w:lineRule="auto"/>
        <w:rPr>
          <w:sz w:val="24"/>
          <w:szCs w:val="24"/>
        </w:rPr>
      </w:pPr>
      <w:r w:rsidRPr="00D733A4">
        <w:rPr>
          <w:sz w:val="24"/>
          <w:szCs w:val="24"/>
        </w:rPr>
        <w:t>To report allegations of fraud, waste, and abuse, the public can visit the FraudNet website at </w:t>
      </w:r>
      <w:hyperlink r:id="rId11" w:history="1">
        <w:r w:rsidRPr="00D733A4">
          <w:rPr>
            <w:rStyle w:val="Hyperlink"/>
            <w:sz w:val="24"/>
            <w:szCs w:val="24"/>
          </w:rPr>
          <w:t>http://www.gao.gov/fraudnet</w:t>
        </w:r>
      </w:hyperlink>
      <w:r w:rsidRPr="00D733A4">
        <w:rPr>
          <w:sz w:val="24"/>
          <w:szCs w:val="24"/>
        </w:rPr>
        <w:t>. Although the website is the preferred reporting method, allegations can also be sent by e-mail to </w:t>
      </w:r>
      <w:hyperlink r:id="rId12" w:history="1">
        <w:r w:rsidRPr="00D733A4">
          <w:rPr>
            <w:rStyle w:val="Hyperlink"/>
            <w:sz w:val="24"/>
            <w:szCs w:val="24"/>
          </w:rPr>
          <w:t>fraud@gao.gov</w:t>
        </w:r>
      </w:hyperlink>
      <w:r w:rsidRPr="00D733A4">
        <w:rPr>
          <w:sz w:val="24"/>
          <w:szCs w:val="24"/>
        </w:rPr>
        <w:t> or by calling 1-800-424-5454 (an automated phone answering system).</w:t>
      </w:r>
    </w:p>
    <w:p w14:paraId="2D151C10" w14:textId="77777777" w:rsidR="002418E7" w:rsidRPr="00D733A4" w:rsidRDefault="002418E7" w:rsidP="00556AD2">
      <w:pPr>
        <w:spacing w:line="240" w:lineRule="auto"/>
        <w:rPr>
          <w:sz w:val="24"/>
          <w:szCs w:val="24"/>
        </w:rPr>
      </w:pPr>
      <w:r w:rsidRPr="00D733A4">
        <w:rPr>
          <w:sz w:val="24"/>
          <w:szCs w:val="24"/>
        </w:rPr>
        <w:t>All allegations or suspected instances of fraud can be made anonymously. Callers should give as much information as possible regarding allegations.  GAO may refer allegations for follow-up to its own investigative unit, appropriate inspector general offices, or to the Department of Justice. Past reports of alleged mismanagement and wrongdoing have involved such varied topics as the misappropriation of funds, security violations, and contractor fraud.</w:t>
      </w:r>
    </w:p>
    <w:p w14:paraId="1DE25327" w14:textId="77777777" w:rsidR="002418E7" w:rsidRPr="00D733A4" w:rsidRDefault="002418E7" w:rsidP="00556AD2">
      <w:pPr>
        <w:spacing w:line="240" w:lineRule="auto"/>
        <w:rPr>
          <w:sz w:val="24"/>
          <w:szCs w:val="24"/>
        </w:rPr>
      </w:pPr>
      <w:r w:rsidRPr="00D733A4">
        <w:rPr>
          <w:sz w:val="24"/>
          <w:szCs w:val="24"/>
        </w:rPr>
        <w:t>The CARES Act requires GAO to issue a report on its oversight of CARES Act spending 90 days after enactment; issue bi-monthly reports through the first year; and conduct oversight of the programs covered by the CARES Act, Coronavirus Preparedness and Response Supplemental Appropriations Act and the Families First Coronavirus Response Act.</w:t>
      </w:r>
    </w:p>
    <w:p w14:paraId="0E9CC1A2" w14:textId="77777777" w:rsidR="002418E7" w:rsidRDefault="002418E7" w:rsidP="00556AD2">
      <w:pPr>
        <w:spacing w:line="240" w:lineRule="auto"/>
        <w:jc w:val="center"/>
        <w:rPr>
          <w:sz w:val="40"/>
          <w:szCs w:val="40"/>
        </w:rPr>
      </w:pPr>
    </w:p>
    <w:p w14:paraId="2EBD1BC0" w14:textId="77777777" w:rsidR="006B4397" w:rsidRPr="002418E7" w:rsidRDefault="006B4397" w:rsidP="00556AD2">
      <w:pPr>
        <w:spacing w:line="240" w:lineRule="auto"/>
        <w:jc w:val="center"/>
        <w:rPr>
          <w:rFonts w:ascii="Arial" w:hAnsi="Arial" w:cs="Arial"/>
          <w:sz w:val="40"/>
          <w:szCs w:val="40"/>
        </w:rPr>
      </w:pPr>
      <w:r w:rsidRPr="002418E7">
        <w:rPr>
          <w:rFonts w:ascii="Arial" w:hAnsi="Arial" w:cs="Arial"/>
          <w:sz w:val="40"/>
          <w:szCs w:val="40"/>
        </w:rPr>
        <w:t>Small Business Office and Path to Excellence Innovation (PEI) Program</w:t>
      </w:r>
    </w:p>
    <w:p w14:paraId="27DE5B8F" w14:textId="77777777" w:rsidR="006B4397" w:rsidRPr="00D733A4" w:rsidRDefault="006B4397" w:rsidP="00556AD2">
      <w:pPr>
        <w:spacing w:line="240" w:lineRule="auto"/>
        <w:rPr>
          <w:sz w:val="24"/>
          <w:szCs w:val="24"/>
        </w:rPr>
      </w:pPr>
      <w:r w:rsidRPr="00D733A4">
        <w:rPr>
          <w:sz w:val="24"/>
          <w:szCs w:val="24"/>
        </w:rPr>
        <w:t xml:space="preserve">Through the Path to Excellence and Innovation (PEI), the Office of Acquisition and Logistics Management (OALM) has the unique privilege of working at the intersection of acquisition management and biomedical research. The PEI program was established in accordance with Presidential Executive Orders on Historically Black Colleges and Universities (HBCUs) issued by each sitting president since 1980. The Executive Orders recognize the value and rich history that HBCUs contribute to society while calling upon federal agencies to assist in building their capacity. About 5 years ago, OALM noticed that a disparity existed in the acquisition portfolio. Although there are at least 20 HBCUs with viable biomedical research and professional service capabilities, HBCUs constituted less than 1% of NIH contract awards. </w:t>
      </w:r>
    </w:p>
    <w:p w14:paraId="186B4961" w14:textId="77777777" w:rsidR="006B4397" w:rsidRPr="00D733A4" w:rsidRDefault="006B4397" w:rsidP="00556AD2">
      <w:pPr>
        <w:spacing w:line="240" w:lineRule="auto"/>
        <w:rPr>
          <w:sz w:val="24"/>
          <w:szCs w:val="24"/>
        </w:rPr>
      </w:pPr>
      <w:r w:rsidRPr="00D733A4">
        <w:rPr>
          <w:sz w:val="24"/>
          <w:szCs w:val="24"/>
        </w:rPr>
        <w:t>On Wednesday, February 5, 2019, Dr. Alfred Johnson, Deputy Director for Management at the NIH, opened the Office of Management (OM) All-Hands Meeting with remarks and then introduced Ms. Diane J. Frasier, Head of Contracting Activity at NIH and Director of the Office of Acquisition and Logistics Management, as the panel moderator. During the All-Hands Meeting, the Small Business Program Office (SPBO) introduced the PEI program to NIH senior leadership and highlighted the progress of the program in accordance with Executive Order 13779. Small Business Program Manager and HBCU Coordinator, Annette Owens-Scarboro, participated in a panel discussion that emphasized the value in exposing HBCUs to the federal contracting process and the importance of providing direct access to NIH program and acquisition officials. Additionally, the panel discussion highlighted the efforts of the National Cancer Institute in successfully developing a partnership with Hampton University regarding proton therapy research.</w:t>
      </w:r>
    </w:p>
    <w:p w14:paraId="66EACC34" w14:textId="77777777" w:rsidR="006B4397" w:rsidRPr="00D733A4" w:rsidRDefault="006B4397" w:rsidP="00556AD2">
      <w:pPr>
        <w:spacing w:line="240" w:lineRule="auto"/>
        <w:rPr>
          <w:sz w:val="24"/>
          <w:szCs w:val="24"/>
        </w:rPr>
      </w:pPr>
      <w:r w:rsidRPr="00D733A4">
        <w:rPr>
          <w:sz w:val="24"/>
          <w:szCs w:val="24"/>
        </w:rPr>
        <w:t>Furthermore, Dr. Michael Gottesman, Deputy Director for Intramural Research, addressed OM's contributions to exciting research advances, while Dr. Francis Collins, NIH Director, showed his appreciation for OM's "unsung heroes."</w:t>
      </w:r>
    </w:p>
    <w:p w14:paraId="58A8C90C" w14:textId="2701457F" w:rsidR="006B4397" w:rsidRPr="00D733A4" w:rsidRDefault="006B4397" w:rsidP="00556AD2">
      <w:pPr>
        <w:spacing w:line="240" w:lineRule="auto"/>
        <w:rPr>
          <w:sz w:val="24"/>
          <w:szCs w:val="24"/>
        </w:rPr>
      </w:pPr>
      <w:r w:rsidRPr="00D733A4">
        <w:rPr>
          <w:sz w:val="24"/>
          <w:szCs w:val="24"/>
        </w:rPr>
        <w:t>Overall, the event was very successful. Moving forward, the SBPO strives to further enhance and expand the PEI program by continuing to cultivate strong partnerships between Historically Black Colleges and Universities, businesses, and the NIH. To request additional information or submit inquiries, please email NIHSmallBusiness@nih.gov</w:t>
      </w:r>
    </w:p>
    <w:p w14:paraId="5E35A940" w14:textId="77777777" w:rsidR="00C1069A" w:rsidRDefault="00C1069A" w:rsidP="00556AD2">
      <w:pPr>
        <w:spacing w:line="240" w:lineRule="auto"/>
        <w:jc w:val="center"/>
        <w:rPr>
          <w:sz w:val="40"/>
          <w:szCs w:val="40"/>
        </w:rPr>
      </w:pPr>
    </w:p>
    <w:p w14:paraId="139DADC4" w14:textId="77777777" w:rsidR="003020A9" w:rsidRDefault="003020A9" w:rsidP="00556AD2">
      <w:pPr>
        <w:spacing w:line="240" w:lineRule="auto"/>
        <w:jc w:val="center"/>
        <w:rPr>
          <w:rFonts w:ascii="Arial" w:hAnsi="Arial" w:cs="Arial"/>
          <w:sz w:val="40"/>
          <w:szCs w:val="40"/>
        </w:rPr>
      </w:pPr>
    </w:p>
    <w:p w14:paraId="4BAAD890" w14:textId="123B9A5D" w:rsidR="00285777" w:rsidRDefault="00C1069A" w:rsidP="00556AD2">
      <w:pPr>
        <w:spacing w:line="240" w:lineRule="auto"/>
        <w:jc w:val="center"/>
        <w:rPr>
          <w:rFonts w:ascii="Arial" w:hAnsi="Arial" w:cs="Arial"/>
          <w:sz w:val="40"/>
          <w:szCs w:val="40"/>
        </w:rPr>
      </w:pPr>
      <w:r w:rsidRPr="00C1069A">
        <w:rPr>
          <w:rFonts w:ascii="Arial" w:hAnsi="Arial" w:cs="Arial"/>
          <w:sz w:val="40"/>
          <w:szCs w:val="40"/>
        </w:rPr>
        <w:t>Recap Corner</w:t>
      </w:r>
    </w:p>
    <w:p w14:paraId="44424653" w14:textId="77777777" w:rsidR="00C1069A" w:rsidRPr="00157B2D" w:rsidRDefault="00157B2D" w:rsidP="00556AD2">
      <w:pPr>
        <w:spacing w:line="240" w:lineRule="auto"/>
        <w:rPr>
          <w:rFonts w:ascii="Arial" w:hAnsi="Arial" w:cs="Arial"/>
          <w:sz w:val="24"/>
          <w:szCs w:val="24"/>
        </w:rPr>
      </w:pPr>
      <w:r w:rsidRPr="00157B2D">
        <w:rPr>
          <w:rFonts w:ascii="Arial" w:hAnsi="Arial" w:cs="Arial"/>
          <w:sz w:val="24"/>
          <w:szCs w:val="24"/>
        </w:rPr>
        <w:t>Below is a recap of recent OALM communications to the NIH acquisition workforce</w:t>
      </w:r>
    </w:p>
    <w:tbl>
      <w:tblPr>
        <w:tblStyle w:val="TableGrid"/>
        <w:tblW w:w="0" w:type="auto"/>
        <w:tblLook w:val="04A0" w:firstRow="1" w:lastRow="0" w:firstColumn="1" w:lastColumn="0" w:noHBand="0" w:noVBand="1"/>
      </w:tblPr>
      <w:tblGrid>
        <w:gridCol w:w="1252"/>
        <w:gridCol w:w="3474"/>
        <w:gridCol w:w="1656"/>
        <w:gridCol w:w="4140"/>
      </w:tblGrid>
      <w:tr w:rsidR="00583D42" w:rsidRPr="00961CBE" w14:paraId="3BCEAF70" w14:textId="77777777" w:rsidTr="00D733A4">
        <w:trPr>
          <w:trHeight w:val="377"/>
        </w:trPr>
        <w:tc>
          <w:tcPr>
            <w:tcW w:w="1252" w:type="dxa"/>
          </w:tcPr>
          <w:p w14:paraId="3D90B8E4"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ID</w:t>
            </w:r>
          </w:p>
        </w:tc>
        <w:tc>
          <w:tcPr>
            <w:tcW w:w="3474" w:type="dxa"/>
          </w:tcPr>
          <w:p w14:paraId="7411DB64"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Title</w:t>
            </w:r>
          </w:p>
        </w:tc>
        <w:tc>
          <w:tcPr>
            <w:tcW w:w="1656" w:type="dxa"/>
          </w:tcPr>
          <w:p w14:paraId="6C1A7FFD"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Date</w:t>
            </w:r>
          </w:p>
        </w:tc>
        <w:tc>
          <w:tcPr>
            <w:tcW w:w="4140" w:type="dxa"/>
          </w:tcPr>
          <w:p w14:paraId="4FAD0612" w14:textId="77777777" w:rsidR="00285777" w:rsidRPr="00961CBE" w:rsidRDefault="00285777" w:rsidP="00556AD2">
            <w:pPr>
              <w:jc w:val="center"/>
              <w:rPr>
                <w:rFonts w:ascii="Arial" w:hAnsi="Arial" w:cs="Arial"/>
                <w:b/>
                <w:bCs/>
                <w:sz w:val="24"/>
                <w:szCs w:val="24"/>
              </w:rPr>
            </w:pPr>
            <w:r w:rsidRPr="00961CBE">
              <w:rPr>
                <w:rFonts w:ascii="Arial" w:hAnsi="Arial" w:cs="Arial"/>
                <w:b/>
                <w:bCs/>
                <w:sz w:val="24"/>
                <w:szCs w:val="24"/>
              </w:rPr>
              <w:t>Purpose</w:t>
            </w:r>
          </w:p>
        </w:tc>
      </w:tr>
      <w:tr w:rsidR="00583D42" w:rsidRPr="00961CBE" w14:paraId="14AEECA3" w14:textId="77777777" w:rsidTr="00D733A4">
        <w:trPr>
          <w:trHeight w:val="440"/>
        </w:trPr>
        <w:tc>
          <w:tcPr>
            <w:tcW w:w="1252" w:type="dxa"/>
          </w:tcPr>
          <w:p w14:paraId="032D3FCC" w14:textId="77777777" w:rsidR="00285777" w:rsidRPr="00961CBE" w:rsidRDefault="00285777" w:rsidP="00556AD2">
            <w:pPr>
              <w:rPr>
                <w:rFonts w:ascii="Arial" w:hAnsi="Arial" w:cs="Arial"/>
                <w:sz w:val="24"/>
                <w:szCs w:val="24"/>
              </w:rPr>
            </w:pPr>
            <w:r w:rsidRPr="00961CBE">
              <w:rPr>
                <w:rFonts w:ascii="Arial" w:hAnsi="Arial" w:cs="Arial"/>
                <w:sz w:val="24"/>
                <w:szCs w:val="24"/>
              </w:rPr>
              <w:t>20-11</w:t>
            </w:r>
          </w:p>
        </w:tc>
        <w:tc>
          <w:tcPr>
            <w:tcW w:w="3474" w:type="dxa"/>
          </w:tcPr>
          <w:p w14:paraId="79F51BFE" w14:textId="77777777" w:rsidR="00285777" w:rsidRPr="00961CBE" w:rsidRDefault="0042596E" w:rsidP="00556AD2">
            <w:pPr>
              <w:rPr>
                <w:rFonts w:ascii="Arial" w:hAnsi="Arial" w:cs="Arial"/>
                <w:sz w:val="24"/>
                <w:szCs w:val="24"/>
              </w:rPr>
            </w:pPr>
            <w:r w:rsidRPr="0042596E">
              <w:rPr>
                <w:rFonts w:ascii="Arial" w:hAnsi="Arial" w:cs="Arial"/>
                <w:sz w:val="24"/>
                <w:szCs w:val="24"/>
              </w:rPr>
              <w:t>New FPDS User IDs, Check Status of ID, or FPDS Validation Errors</w:t>
            </w:r>
          </w:p>
        </w:tc>
        <w:tc>
          <w:tcPr>
            <w:tcW w:w="1656" w:type="dxa"/>
          </w:tcPr>
          <w:p w14:paraId="4B3FE9E5" w14:textId="77777777" w:rsidR="00285777" w:rsidRPr="00961CBE" w:rsidRDefault="0042596E" w:rsidP="00556AD2">
            <w:pPr>
              <w:rPr>
                <w:rFonts w:ascii="Arial" w:hAnsi="Arial" w:cs="Arial"/>
                <w:sz w:val="24"/>
                <w:szCs w:val="24"/>
              </w:rPr>
            </w:pPr>
            <w:r>
              <w:rPr>
                <w:rFonts w:ascii="Arial" w:hAnsi="Arial" w:cs="Arial"/>
                <w:sz w:val="24"/>
                <w:szCs w:val="24"/>
              </w:rPr>
              <w:t>1/30/2020</w:t>
            </w:r>
          </w:p>
        </w:tc>
        <w:tc>
          <w:tcPr>
            <w:tcW w:w="4140" w:type="dxa"/>
          </w:tcPr>
          <w:p w14:paraId="6DFCC217" w14:textId="77777777" w:rsidR="00285777" w:rsidRPr="00961CBE" w:rsidRDefault="002A0DA6" w:rsidP="00556AD2">
            <w:pPr>
              <w:rPr>
                <w:rFonts w:ascii="Arial" w:hAnsi="Arial" w:cs="Arial"/>
                <w:sz w:val="24"/>
                <w:szCs w:val="24"/>
              </w:rPr>
            </w:pPr>
            <w:r>
              <w:rPr>
                <w:rFonts w:ascii="Arial" w:hAnsi="Arial" w:cs="Arial"/>
                <w:sz w:val="24"/>
                <w:szCs w:val="24"/>
              </w:rPr>
              <w:t>For u</w:t>
            </w:r>
            <w:r w:rsidR="0042596E">
              <w:rPr>
                <w:rFonts w:ascii="Arial" w:hAnsi="Arial" w:cs="Arial"/>
                <w:sz w:val="24"/>
                <w:szCs w:val="24"/>
              </w:rPr>
              <w:t>se for w</w:t>
            </w:r>
            <w:r w:rsidR="0042596E" w:rsidRPr="0042596E">
              <w:rPr>
                <w:rFonts w:ascii="Arial" w:hAnsi="Arial" w:cs="Arial"/>
                <w:sz w:val="24"/>
                <w:szCs w:val="24"/>
              </w:rPr>
              <w:t xml:space="preserve">hen requesting the </w:t>
            </w:r>
            <w:r>
              <w:rPr>
                <w:rFonts w:ascii="Arial" w:hAnsi="Arial" w:cs="Arial"/>
                <w:sz w:val="24"/>
                <w:szCs w:val="24"/>
              </w:rPr>
              <w:t>status of FPDS ID</w:t>
            </w:r>
          </w:p>
        </w:tc>
      </w:tr>
      <w:tr w:rsidR="00583D42" w:rsidRPr="00961CBE" w14:paraId="59A11C2B" w14:textId="77777777" w:rsidTr="00D733A4">
        <w:trPr>
          <w:trHeight w:val="350"/>
        </w:trPr>
        <w:tc>
          <w:tcPr>
            <w:tcW w:w="1252" w:type="dxa"/>
          </w:tcPr>
          <w:p w14:paraId="15B8DB7F" w14:textId="77777777" w:rsidR="00285777" w:rsidRPr="00961CBE" w:rsidRDefault="00285777" w:rsidP="00556AD2">
            <w:pPr>
              <w:rPr>
                <w:rFonts w:ascii="Arial" w:hAnsi="Arial" w:cs="Arial"/>
                <w:sz w:val="24"/>
                <w:szCs w:val="24"/>
              </w:rPr>
            </w:pPr>
            <w:r w:rsidRPr="00961CBE">
              <w:rPr>
                <w:rFonts w:ascii="Arial" w:hAnsi="Arial" w:cs="Arial"/>
                <w:sz w:val="24"/>
                <w:szCs w:val="24"/>
              </w:rPr>
              <w:t>20-12</w:t>
            </w:r>
          </w:p>
        </w:tc>
        <w:tc>
          <w:tcPr>
            <w:tcW w:w="3474" w:type="dxa"/>
          </w:tcPr>
          <w:p w14:paraId="6FC9460A" w14:textId="77777777" w:rsidR="00285777" w:rsidRPr="00961CBE" w:rsidRDefault="0042596E" w:rsidP="00556AD2">
            <w:pPr>
              <w:rPr>
                <w:rFonts w:ascii="Arial" w:hAnsi="Arial" w:cs="Arial"/>
                <w:sz w:val="24"/>
                <w:szCs w:val="24"/>
              </w:rPr>
            </w:pPr>
            <w:r w:rsidRPr="0042596E">
              <w:rPr>
                <w:rFonts w:ascii="Arial" w:hAnsi="Arial" w:cs="Arial"/>
                <w:sz w:val="24"/>
                <w:szCs w:val="24"/>
              </w:rPr>
              <w:t>Annual Independent Verification and Validation (IV&amp;V) Review for FY19</w:t>
            </w:r>
          </w:p>
        </w:tc>
        <w:tc>
          <w:tcPr>
            <w:tcW w:w="1656" w:type="dxa"/>
          </w:tcPr>
          <w:p w14:paraId="1790E299" w14:textId="77777777" w:rsidR="00285777" w:rsidRPr="00961CBE" w:rsidRDefault="0042596E" w:rsidP="00556AD2">
            <w:pPr>
              <w:rPr>
                <w:rFonts w:ascii="Arial" w:hAnsi="Arial" w:cs="Arial"/>
                <w:sz w:val="24"/>
                <w:szCs w:val="24"/>
              </w:rPr>
            </w:pPr>
            <w:r>
              <w:rPr>
                <w:rFonts w:ascii="Arial" w:hAnsi="Arial" w:cs="Arial"/>
                <w:sz w:val="24"/>
                <w:szCs w:val="24"/>
              </w:rPr>
              <w:t>2/04/2020</w:t>
            </w:r>
          </w:p>
        </w:tc>
        <w:tc>
          <w:tcPr>
            <w:tcW w:w="4140" w:type="dxa"/>
          </w:tcPr>
          <w:p w14:paraId="2C51CFE4" w14:textId="77777777" w:rsidR="00285777" w:rsidRPr="00961CBE" w:rsidRDefault="0042596E" w:rsidP="00556AD2">
            <w:pPr>
              <w:rPr>
                <w:rFonts w:ascii="Arial" w:hAnsi="Arial" w:cs="Arial"/>
                <w:sz w:val="24"/>
                <w:szCs w:val="24"/>
              </w:rPr>
            </w:pPr>
            <w:r w:rsidRPr="0042596E">
              <w:rPr>
                <w:rFonts w:ascii="Arial" w:hAnsi="Arial" w:cs="Arial"/>
                <w:sz w:val="24"/>
                <w:szCs w:val="24"/>
              </w:rPr>
              <w:t>This communication is to alert all acquisition personnel under the above list serves of the upcoming Independent Verification and Validation (IV&amp;V) Review for FY19.</w:t>
            </w:r>
          </w:p>
        </w:tc>
      </w:tr>
      <w:tr w:rsidR="00583D42" w:rsidRPr="00961CBE" w14:paraId="26E3EF56" w14:textId="77777777" w:rsidTr="00D733A4">
        <w:trPr>
          <w:trHeight w:val="440"/>
        </w:trPr>
        <w:tc>
          <w:tcPr>
            <w:tcW w:w="1252" w:type="dxa"/>
          </w:tcPr>
          <w:p w14:paraId="14C27C42" w14:textId="77777777" w:rsidR="00285777" w:rsidRPr="00961CBE" w:rsidRDefault="00795A99" w:rsidP="00556AD2">
            <w:pPr>
              <w:rPr>
                <w:rFonts w:ascii="Arial" w:hAnsi="Arial" w:cs="Arial"/>
                <w:sz w:val="24"/>
                <w:szCs w:val="24"/>
              </w:rPr>
            </w:pPr>
            <w:r>
              <w:rPr>
                <w:rFonts w:ascii="Arial" w:hAnsi="Arial" w:cs="Arial"/>
                <w:sz w:val="24"/>
                <w:szCs w:val="24"/>
              </w:rPr>
              <w:t>20-13</w:t>
            </w:r>
          </w:p>
        </w:tc>
        <w:tc>
          <w:tcPr>
            <w:tcW w:w="3474" w:type="dxa"/>
          </w:tcPr>
          <w:p w14:paraId="0425B344" w14:textId="77777777" w:rsidR="00285777" w:rsidRPr="00961CBE" w:rsidRDefault="0042596E" w:rsidP="00556AD2">
            <w:pPr>
              <w:rPr>
                <w:rFonts w:ascii="Arial" w:hAnsi="Arial" w:cs="Arial"/>
                <w:sz w:val="24"/>
                <w:szCs w:val="24"/>
              </w:rPr>
            </w:pPr>
            <w:r w:rsidRPr="0042596E">
              <w:rPr>
                <w:rFonts w:ascii="Arial" w:hAnsi="Arial" w:cs="Arial"/>
                <w:sz w:val="24"/>
                <w:szCs w:val="24"/>
              </w:rPr>
              <w:t>Resolving FY 2015 Canceling Year Lines</w:t>
            </w:r>
          </w:p>
        </w:tc>
        <w:tc>
          <w:tcPr>
            <w:tcW w:w="1656" w:type="dxa"/>
          </w:tcPr>
          <w:p w14:paraId="355AEF87" w14:textId="77777777" w:rsidR="00285777" w:rsidRPr="00961CBE" w:rsidRDefault="0042596E" w:rsidP="00556AD2">
            <w:pPr>
              <w:rPr>
                <w:rFonts w:ascii="Arial" w:hAnsi="Arial" w:cs="Arial"/>
                <w:sz w:val="24"/>
                <w:szCs w:val="24"/>
              </w:rPr>
            </w:pPr>
            <w:r>
              <w:rPr>
                <w:rFonts w:ascii="Arial" w:hAnsi="Arial" w:cs="Arial"/>
                <w:sz w:val="24"/>
                <w:szCs w:val="24"/>
              </w:rPr>
              <w:t>2/10/2020</w:t>
            </w:r>
          </w:p>
        </w:tc>
        <w:tc>
          <w:tcPr>
            <w:tcW w:w="4140" w:type="dxa"/>
          </w:tcPr>
          <w:p w14:paraId="7CA3CDE1" w14:textId="77777777" w:rsidR="0042596E" w:rsidRPr="0042596E" w:rsidRDefault="0042596E" w:rsidP="00556AD2">
            <w:pPr>
              <w:rPr>
                <w:rFonts w:ascii="Arial" w:hAnsi="Arial" w:cs="Arial"/>
                <w:sz w:val="24"/>
                <w:szCs w:val="24"/>
              </w:rPr>
            </w:pPr>
            <w:r w:rsidRPr="0042596E">
              <w:rPr>
                <w:rFonts w:ascii="Arial" w:hAnsi="Arial" w:cs="Arial"/>
                <w:sz w:val="24"/>
                <w:szCs w:val="24"/>
              </w:rPr>
              <w:t>Certain appropriations are available for obligation for a specific period, i.e., annual and multi-year appropriations.</w:t>
            </w:r>
            <w:r>
              <w:rPr>
                <w:rFonts w:ascii="Arial" w:hAnsi="Arial" w:cs="Arial"/>
                <w:sz w:val="24"/>
                <w:szCs w:val="24"/>
              </w:rPr>
              <w:t xml:space="preserve"> </w:t>
            </w:r>
            <w:r w:rsidRPr="0042596E">
              <w:rPr>
                <w:rFonts w:ascii="Arial" w:hAnsi="Arial" w:cs="Arial"/>
                <w:sz w:val="24"/>
                <w:szCs w:val="24"/>
              </w:rPr>
              <w:t xml:space="preserve">NIH’s approach is to have these lines resolved by June 30, 2020.  </w:t>
            </w:r>
          </w:p>
          <w:p w14:paraId="331E27A7" w14:textId="77777777" w:rsidR="00285777" w:rsidRPr="00961CBE" w:rsidRDefault="00285777" w:rsidP="00556AD2">
            <w:pPr>
              <w:rPr>
                <w:rFonts w:ascii="Arial" w:hAnsi="Arial" w:cs="Arial"/>
                <w:sz w:val="24"/>
                <w:szCs w:val="24"/>
              </w:rPr>
            </w:pPr>
          </w:p>
        </w:tc>
      </w:tr>
      <w:tr w:rsidR="00C1069A" w:rsidRPr="00961CBE" w14:paraId="5517CF9C" w14:textId="77777777" w:rsidTr="00D733A4">
        <w:trPr>
          <w:trHeight w:val="440"/>
        </w:trPr>
        <w:tc>
          <w:tcPr>
            <w:tcW w:w="1252" w:type="dxa"/>
          </w:tcPr>
          <w:p w14:paraId="11617C87" w14:textId="77777777" w:rsidR="00285777" w:rsidRPr="00961CBE" w:rsidRDefault="00795A99" w:rsidP="00556AD2">
            <w:pPr>
              <w:rPr>
                <w:rFonts w:ascii="Arial" w:hAnsi="Arial" w:cs="Arial"/>
                <w:sz w:val="24"/>
                <w:szCs w:val="24"/>
              </w:rPr>
            </w:pPr>
            <w:r>
              <w:rPr>
                <w:rFonts w:ascii="Arial" w:hAnsi="Arial" w:cs="Arial"/>
                <w:sz w:val="24"/>
                <w:szCs w:val="24"/>
              </w:rPr>
              <w:t>20-14</w:t>
            </w:r>
          </w:p>
        </w:tc>
        <w:tc>
          <w:tcPr>
            <w:tcW w:w="3474" w:type="dxa"/>
          </w:tcPr>
          <w:p w14:paraId="63F3090E" w14:textId="77777777" w:rsidR="00285777" w:rsidRPr="00961CBE" w:rsidRDefault="0042596E" w:rsidP="00556AD2">
            <w:pPr>
              <w:rPr>
                <w:rFonts w:ascii="Arial" w:hAnsi="Arial" w:cs="Arial"/>
                <w:sz w:val="24"/>
                <w:szCs w:val="24"/>
              </w:rPr>
            </w:pPr>
            <w:r w:rsidRPr="0042596E">
              <w:rPr>
                <w:rFonts w:ascii="Arial" w:hAnsi="Arial" w:cs="Arial"/>
                <w:sz w:val="24"/>
                <w:szCs w:val="24"/>
              </w:rPr>
              <w:t>NIH-HHS Data Elements Manual (January 2020)</w:t>
            </w:r>
          </w:p>
        </w:tc>
        <w:tc>
          <w:tcPr>
            <w:tcW w:w="1656" w:type="dxa"/>
          </w:tcPr>
          <w:p w14:paraId="7DAF38E5" w14:textId="77777777" w:rsidR="00285777" w:rsidRPr="00961CBE" w:rsidRDefault="0042596E" w:rsidP="00556AD2">
            <w:pPr>
              <w:rPr>
                <w:rFonts w:ascii="Arial" w:hAnsi="Arial" w:cs="Arial"/>
                <w:sz w:val="24"/>
                <w:szCs w:val="24"/>
              </w:rPr>
            </w:pPr>
            <w:r>
              <w:rPr>
                <w:rFonts w:ascii="Arial" w:hAnsi="Arial" w:cs="Arial"/>
                <w:sz w:val="24"/>
                <w:szCs w:val="24"/>
              </w:rPr>
              <w:t>2/10/2020</w:t>
            </w:r>
          </w:p>
        </w:tc>
        <w:tc>
          <w:tcPr>
            <w:tcW w:w="4140" w:type="dxa"/>
          </w:tcPr>
          <w:p w14:paraId="4626AF17" w14:textId="77777777" w:rsidR="00285777" w:rsidRPr="00961CBE" w:rsidRDefault="0042596E" w:rsidP="00556AD2">
            <w:pPr>
              <w:rPr>
                <w:rFonts w:ascii="Arial" w:hAnsi="Arial" w:cs="Arial"/>
                <w:sz w:val="24"/>
                <w:szCs w:val="24"/>
              </w:rPr>
            </w:pPr>
            <w:r w:rsidRPr="0042596E">
              <w:rPr>
                <w:rFonts w:ascii="Arial" w:hAnsi="Arial" w:cs="Arial"/>
                <w:sz w:val="24"/>
                <w:szCs w:val="24"/>
              </w:rPr>
              <w:t>NIH-HHS Data Element Manual to assist the NIH acquisition community regarding these required fields</w:t>
            </w:r>
          </w:p>
        </w:tc>
      </w:tr>
      <w:tr w:rsidR="00C1069A" w:rsidRPr="00961CBE" w14:paraId="3F43F1C1" w14:textId="77777777" w:rsidTr="00D733A4">
        <w:trPr>
          <w:trHeight w:val="440"/>
        </w:trPr>
        <w:tc>
          <w:tcPr>
            <w:tcW w:w="1252" w:type="dxa"/>
          </w:tcPr>
          <w:p w14:paraId="0D846DBD" w14:textId="77777777" w:rsidR="00285777" w:rsidRPr="00961CBE" w:rsidRDefault="00795A99" w:rsidP="00556AD2">
            <w:pPr>
              <w:rPr>
                <w:rFonts w:ascii="Arial" w:hAnsi="Arial" w:cs="Arial"/>
                <w:sz w:val="24"/>
                <w:szCs w:val="24"/>
              </w:rPr>
            </w:pPr>
            <w:r>
              <w:rPr>
                <w:rFonts w:ascii="Arial" w:hAnsi="Arial" w:cs="Arial"/>
                <w:sz w:val="24"/>
                <w:szCs w:val="24"/>
              </w:rPr>
              <w:t>20-15</w:t>
            </w:r>
          </w:p>
        </w:tc>
        <w:tc>
          <w:tcPr>
            <w:tcW w:w="3474" w:type="dxa"/>
          </w:tcPr>
          <w:p w14:paraId="2C72ABE0" w14:textId="77777777" w:rsidR="00285777" w:rsidRPr="00961CBE" w:rsidRDefault="00F203BC" w:rsidP="00556AD2">
            <w:pPr>
              <w:rPr>
                <w:rFonts w:ascii="Arial" w:hAnsi="Arial" w:cs="Arial"/>
                <w:sz w:val="24"/>
                <w:szCs w:val="24"/>
              </w:rPr>
            </w:pPr>
            <w:r w:rsidRPr="00F203BC">
              <w:rPr>
                <w:rFonts w:ascii="Arial" w:hAnsi="Arial" w:cs="Arial"/>
                <w:sz w:val="24"/>
                <w:szCs w:val="24"/>
              </w:rPr>
              <w:t>FPDS Monthly Maintenance</w:t>
            </w:r>
          </w:p>
        </w:tc>
        <w:tc>
          <w:tcPr>
            <w:tcW w:w="1656" w:type="dxa"/>
          </w:tcPr>
          <w:p w14:paraId="46387D67" w14:textId="77777777" w:rsidR="00285777" w:rsidRPr="00961CBE" w:rsidRDefault="00F203BC" w:rsidP="00556AD2">
            <w:pPr>
              <w:rPr>
                <w:rFonts w:ascii="Arial" w:hAnsi="Arial" w:cs="Arial"/>
                <w:sz w:val="24"/>
                <w:szCs w:val="24"/>
              </w:rPr>
            </w:pPr>
            <w:r>
              <w:rPr>
                <w:rFonts w:ascii="Arial" w:hAnsi="Arial" w:cs="Arial"/>
                <w:sz w:val="24"/>
                <w:szCs w:val="24"/>
              </w:rPr>
              <w:t>2/22/2020</w:t>
            </w:r>
          </w:p>
        </w:tc>
        <w:tc>
          <w:tcPr>
            <w:tcW w:w="4140" w:type="dxa"/>
          </w:tcPr>
          <w:p w14:paraId="002FA7C5" w14:textId="77777777" w:rsidR="00285777" w:rsidRPr="00961CBE" w:rsidRDefault="002A0DA6" w:rsidP="00556AD2">
            <w:pPr>
              <w:rPr>
                <w:rFonts w:ascii="Arial" w:hAnsi="Arial" w:cs="Arial"/>
                <w:sz w:val="24"/>
                <w:szCs w:val="24"/>
              </w:rPr>
            </w:pPr>
            <w:r>
              <w:rPr>
                <w:rFonts w:ascii="Arial" w:hAnsi="Arial" w:cs="Arial"/>
                <w:sz w:val="24"/>
                <w:szCs w:val="24"/>
              </w:rPr>
              <w:t xml:space="preserve">FPDS </w:t>
            </w:r>
            <w:r w:rsidR="00F203BC">
              <w:rPr>
                <w:rFonts w:ascii="Arial" w:hAnsi="Arial" w:cs="Arial"/>
                <w:sz w:val="24"/>
                <w:szCs w:val="24"/>
              </w:rPr>
              <w:t xml:space="preserve">System Maintenance </w:t>
            </w:r>
          </w:p>
        </w:tc>
      </w:tr>
      <w:tr w:rsidR="00C1069A" w:rsidRPr="00961CBE" w14:paraId="4F7E2226" w14:textId="77777777" w:rsidTr="00D733A4">
        <w:trPr>
          <w:trHeight w:val="449"/>
        </w:trPr>
        <w:tc>
          <w:tcPr>
            <w:tcW w:w="1252" w:type="dxa"/>
          </w:tcPr>
          <w:p w14:paraId="2C9E5401" w14:textId="77777777" w:rsidR="00285777" w:rsidRPr="00961CBE" w:rsidRDefault="00795A99" w:rsidP="00556AD2">
            <w:pPr>
              <w:rPr>
                <w:rFonts w:ascii="Arial" w:hAnsi="Arial" w:cs="Arial"/>
                <w:sz w:val="24"/>
                <w:szCs w:val="24"/>
              </w:rPr>
            </w:pPr>
            <w:r>
              <w:rPr>
                <w:rFonts w:ascii="Arial" w:hAnsi="Arial" w:cs="Arial"/>
                <w:sz w:val="24"/>
                <w:szCs w:val="24"/>
              </w:rPr>
              <w:t>20-16</w:t>
            </w:r>
          </w:p>
        </w:tc>
        <w:tc>
          <w:tcPr>
            <w:tcW w:w="3474" w:type="dxa"/>
          </w:tcPr>
          <w:p w14:paraId="510978E3" w14:textId="77777777" w:rsidR="00285777" w:rsidRPr="00961CBE" w:rsidRDefault="00F203BC" w:rsidP="00556AD2">
            <w:pPr>
              <w:rPr>
                <w:rFonts w:ascii="Arial" w:hAnsi="Arial" w:cs="Arial"/>
                <w:sz w:val="24"/>
                <w:szCs w:val="24"/>
              </w:rPr>
            </w:pPr>
            <w:r w:rsidRPr="00F203BC">
              <w:rPr>
                <w:rFonts w:ascii="Arial" w:hAnsi="Arial" w:cs="Arial"/>
                <w:sz w:val="24"/>
                <w:szCs w:val="24"/>
              </w:rPr>
              <w:t>FedDataCheck Semi-Monthly Webinars</w:t>
            </w:r>
          </w:p>
        </w:tc>
        <w:tc>
          <w:tcPr>
            <w:tcW w:w="1656" w:type="dxa"/>
          </w:tcPr>
          <w:p w14:paraId="736F8416" w14:textId="77777777" w:rsidR="00285777" w:rsidRPr="00961CBE" w:rsidRDefault="00F203BC" w:rsidP="00556AD2">
            <w:pPr>
              <w:rPr>
                <w:rFonts w:ascii="Arial" w:hAnsi="Arial" w:cs="Arial"/>
                <w:sz w:val="24"/>
                <w:szCs w:val="24"/>
              </w:rPr>
            </w:pPr>
            <w:r>
              <w:rPr>
                <w:rFonts w:ascii="Arial" w:hAnsi="Arial" w:cs="Arial"/>
                <w:sz w:val="24"/>
                <w:szCs w:val="24"/>
              </w:rPr>
              <w:t>2/25/2020</w:t>
            </w:r>
          </w:p>
        </w:tc>
        <w:tc>
          <w:tcPr>
            <w:tcW w:w="4140" w:type="dxa"/>
          </w:tcPr>
          <w:p w14:paraId="182B4837" w14:textId="77777777" w:rsidR="00285777" w:rsidRPr="00961CBE" w:rsidRDefault="00F203BC" w:rsidP="00556AD2">
            <w:pPr>
              <w:rPr>
                <w:rFonts w:ascii="Arial" w:hAnsi="Arial" w:cs="Arial"/>
                <w:sz w:val="24"/>
                <w:szCs w:val="24"/>
              </w:rPr>
            </w:pPr>
            <w:r>
              <w:rPr>
                <w:rFonts w:ascii="Arial" w:hAnsi="Arial" w:cs="Arial"/>
                <w:sz w:val="24"/>
                <w:szCs w:val="24"/>
              </w:rPr>
              <w:t>FedDataCheck Webinar</w:t>
            </w:r>
          </w:p>
        </w:tc>
      </w:tr>
      <w:tr w:rsidR="00C1069A" w:rsidRPr="00961CBE" w14:paraId="60A7C377" w14:textId="77777777" w:rsidTr="00D733A4">
        <w:trPr>
          <w:trHeight w:val="431"/>
        </w:trPr>
        <w:tc>
          <w:tcPr>
            <w:tcW w:w="1252" w:type="dxa"/>
          </w:tcPr>
          <w:p w14:paraId="34F0E02D" w14:textId="77777777" w:rsidR="00285777" w:rsidRPr="00961CBE" w:rsidRDefault="00795A99" w:rsidP="00556AD2">
            <w:pPr>
              <w:rPr>
                <w:rFonts w:ascii="Arial" w:hAnsi="Arial" w:cs="Arial"/>
                <w:sz w:val="24"/>
                <w:szCs w:val="24"/>
              </w:rPr>
            </w:pPr>
            <w:r>
              <w:rPr>
                <w:rFonts w:ascii="Arial" w:hAnsi="Arial" w:cs="Arial"/>
                <w:sz w:val="24"/>
                <w:szCs w:val="24"/>
              </w:rPr>
              <w:t>20-17</w:t>
            </w:r>
          </w:p>
        </w:tc>
        <w:tc>
          <w:tcPr>
            <w:tcW w:w="3474" w:type="dxa"/>
          </w:tcPr>
          <w:p w14:paraId="17D4E60F" w14:textId="77777777" w:rsidR="00285777" w:rsidRPr="00961CBE" w:rsidRDefault="00F203BC" w:rsidP="00556AD2">
            <w:pPr>
              <w:rPr>
                <w:rFonts w:ascii="Arial" w:hAnsi="Arial" w:cs="Arial"/>
                <w:sz w:val="24"/>
                <w:szCs w:val="24"/>
              </w:rPr>
            </w:pPr>
            <w:r w:rsidRPr="00F203BC">
              <w:rPr>
                <w:rFonts w:ascii="Arial" w:hAnsi="Arial" w:cs="Arial"/>
                <w:sz w:val="24"/>
                <w:szCs w:val="24"/>
              </w:rPr>
              <w:t>Potomac Wave (FedDataCheck) Contractor Responsibility Assessment Report</w:t>
            </w:r>
          </w:p>
        </w:tc>
        <w:tc>
          <w:tcPr>
            <w:tcW w:w="1656" w:type="dxa"/>
          </w:tcPr>
          <w:p w14:paraId="5D8A7A68" w14:textId="77777777" w:rsidR="00285777" w:rsidRPr="00961CBE" w:rsidRDefault="00576399" w:rsidP="00556AD2">
            <w:pPr>
              <w:rPr>
                <w:rFonts w:ascii="Arial" w:hAnsi="Arial" w:cs="Arial"/>
                <w:sz w:val="24"/>
                <w:szCs w:val="24"/>
              </w:rPr>
            </w:pPr>
            <w:r>
              <w:rPr>
                <w:rFonts w:ascii="Arial" w:hAnsi="Arial" w:cs="Arial"/>
                <w:sz w:val="24"/>
                <w:szCs w:val="24"/>
              </w:rPr>
              <w:t>2/25/2020</w:t>
            </w:r>
          </w:p>
        </w:tc>
        <w:tc>
          <w:tcPr>
            <w:tcW w:w="4140" w:type="dxa"/>
          </w:tcPr>
          <w:p w14:paraId="2486C106" w14:textId="77777777" w:rsidR="00285777" w:rsidRPr="00961CBE" w:rsidRDefault="00576399" w:rsidP="00556AD2">
            <w:pPr>
              <w:rPr>
                <w:rFonts w:ascii="Arial" w:hAnsi="Arial" w:cs="Arial"/>
                <w:sz w:val="24"/>
                <w:szCs w:val="24"/>
              </w:rPr>
            </w:pPr>
            <w:r w:rsidRPr="00576399">
              <w:rPr>
                <w:rFonts w:ascii="Arial" w:hAnsi="Arial" w:cs="Arial"/>
                <w:sz w:val="24"/>
                <w:szCs w:val="24"/>
              </w:rPr>
              <w:t>The Contractor Responsibility Assessment Report (CRA) is a FedDataCheck report generated via robotic process automation that includes a vendor’s responses in the System for Award Management (SAM) as well as any applicable records in FAPIIS and FPDS-NG.</w:t>
            </w:r>
          </w:p>
        </w:tc>
      </w:tr>
      <w:tr w:rsidR="00C1069A" w:rsidRPr="00961CBE" w14:paraId="2D421F8A" w14:textId="77777777" w:rsidTr="00D733A4">
        <w:trPr>
          <w:trHeight w:val="449"/>
        </w:trPr>
        <w:tc>
          <w:tcPr>
            <w:tcW w:w="1252" w:type="dxa"/>
          </w:tcPr>
          <w:p w14:paraId="1F02A697" w14:textId="77777777" w:rsidR="00961CBE" w:rsidRPr="00961CBE" w:rsidRDefault="00795A99" w:rsidP="00556AD2">
            <w:pPr>
              <w:rPr>
                <w:rFonts w:ascii="Arial" w:hAnsi="Arial" w:cs="Arial"/>
                <w:sz w:val="24"/>
                <w:szCs w:val="24"/>
              </w:rPr>
            </w:pPr>
            <w:r>
              <w:rPr>
                <w:rFonts w:ascii="Arial" w:hAnsi="Arial" w:cs="Arial"/>
                <w:sz w:val="24"/>
                <w:szCs w:val="24"/>
              </w:rPr>
              <w:t>20-18</w:t>
            </w:r>
          </w:p>
        </w:tc>
        <w:tc>
          <w:tcPr>
            <w:tcW w:w="3474" w:type="dxa"/>
          </w:tcPr>
          <w:p w14:paraId="43BDBA15" w14:textId="77777777" w:rsidR="00961CBE" w:rsidRPr="00961CBE" w:rsidRDefault="00576399" w:rsidP="00556AD2">
            <w:pPr>
              <w:rPr>
                <w:rFonts w:ascii="Arial" w:hAnsi="Arial" w:cs="Arial"/>
                <w:sz w:val="24"/>
                <w:szCs w:val="24"/>
              </w:rPr>
            </w:pPr>
            <w:r w:rsidRPr="00576399">
              <w:rPr>
                <w:rFonts w:ascii="Arial" w:hAnsi="Arial" w:cs="Arial"/>
                <w:sz w:val="24"/>
                <w:szCs w:val="24"/>
              </w:rPr>
              <w:t>Resolving FY 2015 Canceling Year Lines</w:t>
            </w:r>
          </w:p>
        </w:tc>
        <w:tc>
          <w:tcPr>
            <w:tcW w:w="1656" w:type="dxa"/>
          </w:tcPr>
          <w:p w14:paraId="60989F8E" w14:textId="77777777" w:rsidR="00961CBE" w:rsidRPr="00961CBE" w:rsidRDefault="00576399" w:rsidP="00556AD2">
            <w:pPr>
              <w:rPr>
                <w:rFonts w:ascii="Arial" w:hAnsi="Arial" w:cs="Arial"/>
                <w:sz w:val="24"/>
                <w:szCs w:val="24"/>
              </w:rPr>
            </w:pPr>
            <w:r>
              <w:rPr>
                <w:rFonts w:ascii="Arial" w:hAnsi="Arial" w:cs="Arial"/>
                <w:sz w:val="24"/>
                <w:szCs w:val="24"/>
              </w:rPr>
              <w:t>3/09/2020</w:t>
            </w:r>
          </w:p>
        </w:tc>
        <w:tc>
          <w:tcPr>
            <w:tcW w:w="4140" w:type="dxa"/>
          </w:tcPr>
          <w:p w14:paraId="5A2DE1F3" w14:textId="77777777" w:rsidR="00961CBE" w:rsidRPr="00961CBE" w:rsidRDefault="00576399" w:rsidP="00556AD2">
            <w:pPr>
              <w:rPr>
                <w:rFonts w:ascii="Arial" w:hAnsi="Arial" w:cs="Arial"/>
                <w:sz w:val="24"/>
                <w:szCs w:val="24"/>
              </w:rPr>
            </w:pPr>
            <w:r w:rsidRPr="00576399">
              <w:rPr>
                <w:rFonts w:ascii="Arial" w:hAnsi="Arial" w:cs="Arial"/>
                <w:sz w:val="24"/>
                <w:szCs w:val="24"/>
              </w:rPr>
              <w:t>Certain appropriations are available for obligation for a specific period, i.e., annual and multi-year appropriations. NIH’s approach is to have these lines resolved by June 30, 2020</w:t>
            </w:r>
          </w:p>
        </w:tc>
      </w:tr>
      <w:tr w:rsidR="00C1069A" w:rsidRPr="00961CBE" w14:paraId="6EDB21CA" w14:textId="77777777" w:rsidTr="00D733A4">
        <w:trPr>
          <w:trHeight w:val="440"/>
        </w:trPr>
        <w:tc>
          <w:tcPr>
            <w:tcW w:w="1252" w:type="dxa"/>
          </w:tcPr>
          <w:p w14:paraId="5CC0B910" w14:textId="77777777" w:rsidR="00961CBE" w:rsidRPr="00961CBE" w:rsidRDefault="00795A99" w:rsidP="00556AD2">
            <w:pPr>
              <w:rPr>
                <w:rFonts w:ascii="Arial" w:hAnsi="Arial" w:cs="Arial"/>
                <w:sz w:val="24"/>
                <w:szCs w:val="24"/>
              </w:rPr>
            </w:pPr>
            <w:r>
              <w:rPr>
                <w:rFonts w:ascii="Arial" w:hAnsi="Arial" w:cs="Arial"/>
                <w:sz w:val="24"/>
                <w:szCs w:val="24"/>
              </w:rPr>
              <w:t>20-19</w:t>
            </w:r>
          </w:p>
        </w:tc>
        <w:tc>
          <w:tcPr>
            <w:tcW w:w="3474" w:type="dxa"/>
          </w:tcPr>
          <w:p w14:paraId="68888309" w14:textId="77777777" w:rsidR="00961CBE" w:rsidRPr="00961CBE" w:rsidRDefault="00576399" w:rsidP="00556AD2">
            <w:pPr>
              <w:rPr>
                <w:rFonts w:ascii="Arial" w:hAnsi="Arial" w:cs="Arial"/>
                <w:sz w:val="24"/>
                <w:szCs w:val="24"/>
              </w:rPr>
            </w:pPr>
            <w:r w:rsidRPr="00576399">
              <w:rPr>
                <w:rFonts w:ascii="Arial" w:hAnsi="Arial" w:cs="Arial"/>
                <w:sz w:val="24"/>
                <w:szCs w:val="24"/>
              </w:rPr>
              <w:t>SAM.gov Downtime Notification</w:t>
            </w:r>
          </w:p>
        </w:tc>
        <w:tc>
          <w:tcPr>
            <w:tcW w:w="1656" w:type="dxa"/>
          </w:tcPr>
          <w:p w14:paraId="5817E382" w14:textId="77777777" w:rsidR="00961CBE" w:rsidRPr="00961CBE" w:rsidRDefault="00576399" w:rsidP="00556AD2">
            <w:pPr>
              <w:rPr>
                <w:rFonts w:ascii="Arial" w:hAnsi="Arial" w:cs="Arial"/>
                <w:sz w:val="24"/>
                <w:szCs w:val="24"/>
              </w:rPr>
            </w:pPr>
            <w:r>
              <w:rPr>
                <w:rFonts w:ascii="Arial" w:hAnsi="Arial" w:cs="Arial"/>
                <w:sz w:val="24"/>
                <w:szCs w:val="24"/>
              </w:rPr>
              <w:t>3/14/2020</w:t>
            </w:r>
          </w:p>
        </w:tc>
        <w:tc>
          <w:tcPr>
            <w:tcW w:w="4140" w:type="dxa"/>
          </w:tcPr>
          <w:p w14:paraId="277FDA01" w14:textId="77777777" w:rsidR="00961CBE" w:rsidRPr="00961CBE" w:rsidRDefault="00576399" w:rsidP="00556AD2">
            <w:pPr>
              <w:rPr>
                <w:rFonts w:ascii="Arial" w:hAnsi="Arial" w:cs="Arial"/>
                <w:sz w:val="24"/>
                <w:szCs w:val="24"/>
              </w:rPr>
            </w:pPr>
            <w:r w:rsidRPr="00576399">
              <w:rPr>
                <w:rFonts w:ascii="Arial" w:hAnsi="Arial" w:cs="Arial"/>
                <w:sz w:val="24"/>
                <w:szCs w:val="24"/>
              </w:rPr>
              <w:t>SAM.gov Downtime</w:t>
            </w:r>
          </w:p>
        </w:tc>
      </w:tr>
      <w:tr w:rsidR="00C1069A" w:rsidRPr="00961CBE" w14:paraId="5E50B2D6" w14:textId="77777777" w:rsidTr="00D733A4">
        <w:trPr>
          <w:trHeight w:val="440"/>
        </w:trPr>
        <w:tc>
          <w:tcPr>
            <w:tcW w:w="1252" w:type="dxa"/>
          </w:tcPr>
          <w:p w14:paraId="67AC42E2" w14:textId="77777777" w:rsidR="00961CBE" w:rsidRPr="00961CBE" w:rsidRDefault="00795A99" w:rsidP="00556AD2">
            <w:pPr>
              <w:rPr>
                <w:rFonts w:ascii="Arial" w:hAnsi="Arial" w:cs="Arial"/>
                <w:sz w:val="24"/>
                <w:szCs w:val="24"/>
              </w:rPr>
            </w:pPr>
            <w:r>
              <w:rPr>
                <w:rFonts w:ascii="Arial" w:hAnsi="Arial" w:cs="Arial"/>
                <w:sz w:val="24"/>
                <w:szCs w:val="24"/>
              </w:rPr>
              <w:t>20-20</w:t>
            </w:r>
          </w:p>
        </w:tc>
        <w:tc>
          <w:tcPr>
            <w:tcW w:w="3474" w:type="dxa"/>
          </w:tcPr>
          <w:p w14:paraId="568EC5B8" w14:textId="77777777" w:rsidR="00961CBE" w:rsidRPr="00961CBE" w:rsidRDefault="006B7DFF" w:rsidP="00556AD2">
            <w:pPr>
              <w:rPr>
                <w:rFonts w:ascii="Arial" w:hAnsi="Arial" w:cs="Arial"/>
                <w:sz w:val="24"/>
                <w:szCs w:val="24"/>
              </w:rPr>
            </w:pPr>
            <w:r w:rsidRPr="006B7DFF">
              <w:rPr>
                <w:rFonts w:ascii="Arial" w:hAnsi="Arial" w:cs="Arial"/>
                <w:sz w:val="24"/>
                <w:szCs w:val="24"/>
              </w:rPr>
              <w:t>DCIS/FPDS Alert – NEW Item 6R National Interest Action Values – COVID-19 2020/P20C COVID-19</w:t>
            </w:r>
          </w:p>
        </w:tc>
        <w:tc>
          <w:tcPr>
            <w:tcW w:w="1656" w:type="dxa"/>
          </w:tcPr>
          <w:p w14:paraId="3E441A15" w14:textId="77777777" w:rsidR="00961CBE" w:rsidRPr="00961CBE" w:rsidRDefault="006B7DFF" w:rsidP="00556AD2">
            <w:pPr>
              <w:rPr>
                <w:rFonts w:ascii="Arial" w:hAnsi="Arial" w:cs="Arial"/>
                <w:sz w:val="24"/>
                <w:szCs w:val="24"/>
              </w:rPr>
            </w:pPr>
            <w:r>
              <w:rPr>
                <w:rFonts w:ascii="Arial" w:hAnsi="Arial" w:cs="Arial"/>
                <w:sz w:val="24"/>
                <w:szCs w:val="24"/>
              </w:rPr>
              <w:t>3/16/2020</w:t>
            </w:r>
          </w:p>
        </w:tc>
        <w:tc>
          <w:tcPr>
            <w:tcW w:w="4140" w:type="dxa"/>
          </w:tcPr>
          <w:p w14:paraId="55A9633B" w14:textId="77777777" w:rsidR="00961CBE" w:rsidRPr="00961CBE" w:rsidRDefault="006B7DFF" w:rsidP="00556AD2">
            <w:pPr>
              <w:rPr>
                <w:rFonts w:ascii="Arial" w:hAnsi="Arial" w:cs="Arial"/>
                <w:sz w:val="24"/>
                <w:szCs w:val="24"/>
              </w:rPr>
            </w:pPr>
            <w:r w:rsidRPr="006B7DFF">
              <w:rPr>
                <w:rFonts w:ascii="Arial" w:hAnsi="Arial" w:cs="Arial"/>
                <w:sz w:val="24"/>
                <w:szCs w:val="24"/>
              </w:rPr>
              <w:t>New National Interest Action values ‘COVID-19 2020’ and ‘P20C COVID-19’ added to track contracts in DCIS/FPDS</w:t>
            </w:r>
          </w:p>
        </w:tc>
      </w:tr>
      <w:tr w:rsidR="00C1069A" w:rsidRPr="00961CBE" w14:paraId="6F81FF9D" w14:textId="77777777" w:rsidTr="00D733A4">
        <w:trPr>
          <w:trHeight w:val="440"/>
        </w:trPr>
        <w:tc>
          <w:tcPr>
            <w:tcW w:w="1252" w:type="dxa"/>
          </w:tcPr>
          <w:p w14:paraId="58E9A4DE" w14:textId="77777777" w:rsidR="00795A99" w:rsidRPr="00961CBE" w:rsidRDefault="00795A99" w:rsidP="00556AD2">
            <w:pPr>
              <w:rPr>
                <w:rFonts w:ascii="Arial" w:hAnsi="Arial" w:cs="Arial"/>
                <w:sz w:val="24"/>
                <w:szCs w:val="24"/>
              </w:rPr>
            </w:pPr>
            <w:r>
              <w:rPr>
                <w:rFonts w:ascii="Arial" w:hAnsi="Arial" w:cs="Arial"/>
                <w:sz w:val="24"/>
                <w:szCs w:val="24"/>
              </w:rPr>
              <w:t>20-21</w:t>
            </w:r>
          </w:p>
        </w:tc>
        <w:tc>
          <w:tcPr>
            <w:tcW w:w="3474" w:type="dxa"/>
          </w:tcPr>
          <w:p w14:paraId="1666AC6C" w14:textId="77777777" w:rsidR="00795A99" w:rsidRPr="00961CBE" w:rsidRDefault="006B7DFF" w:rsidP="00556AD2">
            <w:pPr>
              <w:rPr>
                <w:rFonts w:ascii="Arial" w:hAnsi="Arial" w:cs="Arial"/>
                <w:sz w:val="24"/>
                <w:szCs w:val="24"/>
              </w:rPr>
            </w:pPr>
            <w:r w:rsidRPr="006B7DFF">
              <w:rPr>
                <w:rFonts w:ascii="Arial" w:hAnsi="Arial" w:cs="Arial"/>
                <w:sz w:val="24"/>
                <w:szCs w:val="24"/>
              </w:rPr>
              <w:t>New National Interest Action values ‘COVID-19 2020’ and ‘P20C COVID-19’ has been added to track contracts in DCIS/FPDS</w:t>
            </w:r>
          </w:p>
        </w:tc>
        <w:tc>
          <w:tcPr>
            <w:tcW w:w="1656" w:type="dxa"/>
          </w:tcPr>
          <w:p w14:paraId="7BF1618E" w14:textId="77777777" w:rsidR="00795A99" w:rsidRPr="00961CBE" w:rsidRDefault="006B7DFF" w:rsidP="00556AD2">
            <w:pPr>
              <w:rPr>
                <w:rFonts w:ascii="Arial" w:hAnsi="Arial" w:cs="Arial"/>
                <w:sz w:val="24"/>
                <w:szCs w:val="24"/>
              </w:rPr>
            </w:pPr>
            <w:r>
              <w:rPr>
                <w:rFonts w:ascii="Arial" w:hAnsi="Arial" w:cs="Arial"/>
                <w:sz w:val="24"/>
                <w:szCs w:val="24"/>
              </w:rPr>
              <w:t>3/16/2020</w:t>
            </w:r>
          </w:p>
        </w:tc>
        <w:tc>
          <w:tcPr>
            <w:tcW w:w="4140" w:type="dxa"/>
          </w:tcPr>
          <w:p w14:paraId="763878DF" w14:textId="77777777" w:rsidR="00795A99" w:rsidRPr="00961CBE" w:rsidRDefault="006B7DFF" w:rsidP="00556AD2">
            <w:pPr>
              <w:rPr>
                <w:rFonts w:ascii="Arial" w:hAnsi="Arial" w:cs="Arial"/>
                <w:sz w:val="24"/>
                <w:szCs w:val="24"/>
              </w:rPr>
            </w:pPr>
            <w:r w:rsidRPr="006B7DFF">
              <w:rPr>
                <w:rFonts w:ascii="Arial" w:hAnsi="Arial" w:cs="Arial"/>
                <w:sz w:val="24"/>
                <w:szCs w:val="24"/>
              </w:rPr>
              <w:t>PRISM document</w:t>
            </w:r>
            <w:r>
              <w:rPr>
                <w:rFonts w:ascii="Arial" w:hAnsi="Arial" w:cs="Arial"/>
                <w:sz w:val="24"/>
                <w:szCs w:val="24"/>
              </w:rPr>
              <w:t xml:space="preserve">s </w:t>
            </w:r>
            <w:r w:rsidRPr="006B7DFF">
              <w:rPr>
                <w:rFonts w:ascii="Arial" w:hAnsi="Arial" w:cs="Arial"/>
                <w:sz w:val="24"/>
                <w:szCs w:val="24"/>
              </w:rPr>
              <w:t>associated with COVID-19 Reporting, you must select ‘Presidential issue emergency declaration or major disaster declaration’ before launching FPDS</w:t>
            </w:r>
          </w:p>
        </w:tc>
      </w:tr>
      <w:tr w:rsidR="00C1069A" w:rsidRPr="00961CBE" w14:paraId="3037EEFD" w14:textId="77777777" w:rsidTr="00D733A4">
        <w:trPr>
          <w:trHeight w:val="440"/>
        </w:trPr>
        <w:tc>
          <w:tcPr>
            <w:tcW w:w="1252" w:type="dxa"/>
          </w:tcPr>
          <w:p w14:paraId="69382CEF" w14:textId="77777777" w:rsidR="00961CBE" w:rsidRPr="00961CBE" w:rsidRDefault="00795A99" w:rsidP="00556AD2">
            <w:pPr>
              <w:rPr>
                <w:rFonts w:ascii="Arial" w:hAnsi="Arial" w:cs="Arial"/>
                <w:sz w:val="24"/>
                <w:szCs w:val="24"/>
              </w:rPr>
            </w:pPr>
            <w:r>
              <w:rPr>
                <w:rFonts w:ascii="Arial" w:hAnsi="Arial" w:cs="Arial"/>
                <w:sz w:val="24"/>
                <w:szCs w:val="24"/>
              </w:rPr>
              <w:t>20-22</w:t>
            </w:r>
          </w:p>
        </w:tc>
        <w:tc>
          <w:tcPr>
            <w:tcW w:w="3474" w:type="dxa"/>
          </w:tcPr>
          <w:p w14:paraId="2B20B341" w14:textId="77777777" w:rsidR="00961CBE" w:rsidRPr="00961CBE" w:rsidRDefault="006B7DFF" w:rsidP="00556AD2">
            <w:pPr>
              <w:rPr>
                <w:rFonts w:ascii="Arial" w:hAnsi="Arial" w:cs="Arial"/>
                <w:sz w:val="24"/>
                <w:szCs w:val="24"/>
              </w:rPr>
            </w:pPr>
            <w:r w:rsidRPr="006B7DFF">
              <w:rPr>
                <w:rFonts w:ascii="Arial" w:hAnsi="Arial" w:cs="Arial"/>
                <w:sz w:val="24"/>
                <w:szCs w:val="24"/>
              </w:rPr>
              <w:t>FPDS Monthly Maintenance</w:t>
            </w:r>
          </w:p>
        </w:tc>
        <w:tc>
          <w:tcPr>
            <w:tcW w:w="1656" w:type="dxa"/>
          </w:tcPr>
          <w:p w14:paraId="208983B5" w14:textId="77777777" w:rsidR="00961CBE" w:rsidRPr="00961CBE" w:rsidRDefault="006B7DFF" w:rsidP="00556AD2">
            <w:pPr>
              <w:rPr>
                <w:rFonts w:ascii="Arial" w:hAnsi="Arial" w:cs="Arial"/>
                <w:sz w:val="24"/>
                <w:szCs w:val="24"/>
              </w:rPr>
            </w:pPr>
            <w:r>
              <w:rPr>
                <w:rFonts w:ascii="Arial" w:hAnsi="Arial" w:cs="Arial"/>
                <w:sz w:val="24"/>
                <w:szCs w:val="24"/>
              </w:rPr>
              <w:t>3/21/2020</w:t>
            </w:r>
          </w:p>
        </w:tc>
        <w:tc>
          <w:tcPr>
            <w:tcW w:w="4140" w:type="dxa"/>
          </w:tcPr>
          <w:p w14:paraId="568E67FB" w14:textId="77777777" w:rsidR="00961CBE" w:rsidRPr="00961CBE" w:rsidRDefault="006B7DFF" w:rsidP="00556AD2">
            <w:pPr>
              <w:rPr>
                <w:rFonts w:ascii="Arial" w:hAnsi="Arial" w:cs="Arial"/>
                <w:sz w:val="24"/>
                <w:szCs w:val="24"/>
              </w:rPr>
            </w:pPr>
            <w:r w:rsidRPr="006B7DFF">
              <w:rPr>
                <w:rFonts w:ascii="Arial" w:hAnsi="Arial" w:cs="Arial"/>
                <w:sz w:val="24"/>
                <w:szCs w:val="24"/>
              </w:rPr>
              <w:t>FPDS Monthly Maintenance</w:t>
            </w:r>
          </w:p>
        </w:tc>
      </w:tr>
      <w:tr w:rsidR="00C1069A" w:rsidRPr="00961CBE" w14:paraId="7AD0A727" w14:textId="77777777" w:rsidTr="00D733A4">
        <w:trPr>
          <w:trHeight w:val="440"/>
        </w:trPr>
        <w:tc>
          <w:tcPr>
            <w:tcW w:w="1252" w:type="dxa"/>
          </w:tcPr>
          <w:p w14:paraId="6CD81B7A" w14:textId="77777777" w:rsidR="00961CBE" w:rsidRPr="00961CBE" w:rsidRDefault="00795A99" w:rsidP="00556AD2">
            <w:pPr>
              <w:rPr>
                <w:rFonts w:ascii="Arial" w:hAnsi="Arial" w:cs="Arial"/>
                <w:sz w:val="24"/>
                <w:szCs w:val="24"/>
              </w:rPr>
            </w:pPr>
            <w:r>
              <w:rPr>
                <w:rFonts w:ascii="Arial" w:hAnsi="Arial" w:cs="Arial"/>
                <w:sz w:val="24"/>
                <w:szCs w:val="24"/>
              </w:rPr>
              <w:t>20-23</w:t>
            </w:r>
          </w:p>
        </w:tc>
        <w:tc>
          <w:tcPr>
            <w:tcW w:w="3474" w:type="dxa"/>
          </w:tcPr>
          <w:p w14:paraId="39A300AC" w14:textId="77777777" w:rsidR="00961CBE" w:rsidRPr="00961CBE" w:rsidRDefault="006B7DFF" w:rsidP="00556AD2">
            <w:pPr>
              <w:rPr>
                <w:rFonts w:ascii="Arial" w:hAnsi="Arial" w:cs="Arial"/>
                <w:sz w:val="24"/>
                <w:szCs w:val="24"/>
              </w:rPr>
            </w:pPr>
            <w:r w:rsidRPr="006B7DFF">
              <w:rPr>
                <w:rFonts w:ascii="Arial" w:hAnsi="Arial" w:cs="Arial"/>
                <w:sz w:val="24"/>
                <w:szCs w:val="24"/>
              </w:rPr>
              <w:t>SAM.gov Entity Registrations Expiring in the Next Two Months Extended by Sixty Day</w:t>
            </w:r>
          </w:p>
        </w:tc>
        <w:tc>
          <w:tcPr>
            <w:tcW w:w="1656" w:type="dxa"/>
          </w:tcPr>
          <w:p w14:paraId="3D5D88F2" w14:textId="77777777" w:rsidR="00961CBE" w:rsidRPr="00961CBE" w:rsidRDefault="006B7DFF" w:rsidP="00556AD2">
            <w:pPr>
              <w:rPr>
                <w:rFonts w:ascii="Arial" w:hAnsi="Arial" w:cs="Arial"/>
                <w:sz w:val="24"/>
                <w:szCs w:val="24"/>
              </w:rPr>
            </w:pPr>
            <w:r>
              <w:rPr>
                <w:rFonts w:ascii="Arial" w:hAnsi="Arial" w:cs="Arial"/>
                <w:sz w:val="24"/>
                <w:szCs w:val="24"/>
              </w:rPr>
              <w:t>3/23/2020</w:t>
            </w:r>
          </w:p>
        </w:tc>
        <w:tc>
          <w:tcPr>
            <w:tcW w:w="4140" w:type="dxa"/>
          </w:tcPr>
          <w:p w14:paraId="485B8A2C" w14:textId="77777777" w:rsidR="00961CBE" w:rsidRPr="00961CBE" w:rsidRDefault="006B7DFF" w:rsidP="00556AD2">
            <w:pPr>
              <w:rPr>
                <w:rFonts w:ascii="Arial" w:hAnsi="Arial" w:cs="Arial"/>
                <w:sz w:val="24"/>
                <w:szCs w:val="24"/>
              </w:rPr>
            </w:pPr>
            <w:r w:rsidRPr="006B7DFF">
              <w:rPr>
                <w:rFonts w:ascii="Arial" w:hAnsi="Arial" w:cs="Arial"/>
                <w:sz w:val="24"/>
                <w:szCs w:val="24"/>
              </w:rPr>
              <w:t xml:space="preserve">Integrated Award Environment (IAE), GSA has initiated 60-Day extensions to SAM.gov registrations with expiration dates between 3/19/2020 and 5/17/2020. </w:t>
            </w:r>
          </w:p>
        </w:tc>
      </w:tr>
      <w:tr w:rsidR="00C1069A" w:rsidRPr="00961CBE" w14:paraId="407D3135" w14:textId="77777777" w:rsidTr="00D733A4">
        <w:trPr>
          <w:trHeight w:val="440"/>
        </w:trPr>
        <w:tc>
          <w:tcPr>
            <w:tcW w:w="1252" w:type="dxa"/>
          </w:tcPr>
          <w:p w14:paraId="31A975F6" w14:textId="77777777" w:rsidR="00961CBE" w:rsidRPr="00961CBE" w:rsidRDefault="00795A99" w:rsidP="00556AD2">
            <w:pPr>
              <w:rPr>
                <w:rFonts w:ascii="Arial" w:hAnsi="Arial" w:cs="Arial"/>
                <w:sz w:val="24"/>
                <w:szCs w:val="24"/>
              </w:rPr>
            </w:pPr>
            <w:r>
              <w:rPr>
                <w:rFonts w:ascii="Arial" w:hAnsi="Arial" w:cs="Arial"/>
                <w:sz w:val="24"/>
                <w:szCs w:val="24"/>
              </w:rPr>
              <w:t>20-24</w:t>
            </w:r>
          </w:p>
        </w:tc>
        <w:tc>
          <w:tcPr>
            <w:tcW w:w="3474" w:type="dxa"/>
          </w:tcPr>
          <w:p w14:paraId="4D1F1C55" w14:textId="77777777" w:rsidR="00961CBE" w:rsidRPr="00961CBE" w:rsidRDefault="00943511" w:rsidP="00556AD2">
            <w:pPr>
              <w:rPr>
                <w:rFonts w:ascii="Arial" w:hAnsi="Arial" w:cs="Arial"/>
                <w:sz w:val="24"/>
                <w:szCs w:val="24"/>
              </w:rPr>
            </w:pPr>
            <w:r w:rsidRPr="00943511">
              <w:rPr>
                <w:rFonts w:ascii="Arial" w:hAnsi="Arial" w:cs="Arial"/>
                <w:sz w:val="24"/>
                <w:szCs w:val="24"/>
              </w:rPr>
              <w:t>Resolving FY 2015 Canceling Year Lines</w:t>
            </w:r>
          </w:p>
        </w:tc>
        <w:tc>
          <w:tcPr>
            <w:tcW w:w="1656" w:type="dxa"/>
          </w:tcPr>
          <w:p w14:paraId="3D8ECB09" w14:textId="77777777" w:rsidR="00961CBE" w:rsidRPr="00961CBE" w:rsidRDefault="00943511" w:rsidP="00556AD2">
            <w:pPr>
              <w:rPr>
                <w:rFonts w:ascii="Arial" w:hAnsi="Arial" w:cs="Arial"/>
                <w:sz w:val="24"/>
                <w:szCs w:val="24"/>
              </w:rPr>
            </w:pPr>
            <w:r>
              <w:rPr>
                <w:rFonts w:ascii="Arial" w:hAnsi="Arial" w:cs="Arial"/>
                <w:sz w:val="24"/>
                <w:szCs w:val="24"/>
              </w:rPr>
              <w:t>3/23/2020</w:t>
            </w:r>
          </w:p>
        </w:tc>
        <w:tc>
          <w:tcPr>
            <w:tcW w:w="4140" w:type="dxa"/>
          </w:tcPr>
          <w:p w14:paraId="2A0FF029" w14:textId="77777777" w:rsidR="00961CBE" w:rsidRPr="00961CBE" w:rsidRDefault="00943511" w:rsidP="00556AD2">
            <w:pPr>
              <w:rPr>
                <w:rFonts w:ascii="Arial" w:hAnsi="Arial" w:cs="Arial"/>
                <w:sz w:val="24"/>
                <w:szCs w:val="24"/>
              </w:rPr>
            </w:pPr>
            <w:r w:rsidRPr="00943511">
              <w:rPr>
                <w:rFonts w:ascii="Arial" w:hAnsi="Arial" w:cs="Arial"/>
                <w:sz w:val="24"/>
                <w:szCs w:val="24"/>
              </w:rPr>
              <w:t>Certain appropriations are available for obligation for a specific period, i.e., annual and multi-year appropriations. NIH’s approach is to have these lines resolved by June 30, 2020</w:t>
            </w:r>
          </w:p>
        </w:tc>
      </w:tr>
      <w:tr w:rsidR="00C1069A" w:rsidRPr="00961CBE" w14:paraId="5488E8F7" w14:textId="77777777" w:rsidTr="00D733A4">
        <w:trPr>
          <w:trHeight w:val="440"/>
        </w:trPr>
        <w:tc>
          <w:tcPr>
            <w:tcW w:w="1252" w:type="dxa"/>
          </w:tcPr>
          <w:p w14:paraId="1DD58FB4" w14:textId="77777777" w:rsidR="00961CBE" w:rsidRPr="00961CBE" w:rsidRDefault="00795A99" w:rsidP="00556AD2">
            <w:pPr>
              <w:rPr>
                <w:rFonts w:ascii="Arial" w:hAnsi="Arial" w:cs="Arial"/>
                <w:sz w:val="24"/>
                <w:szCs w:val="24"/>
              </w:rPr>
            </w:pPr>
            <w:r>
              <w:rPr>
                <w:rFonts w:ascii="Arial" w:hAnsi="Arial" w:cs="Arial"/>
                <w:sz w:val="24"/>
                <w:szCs w:val="24"/>
              </w:rPr>
              <w:t>20-25</w:t>
            </w:r>
          </w:p>
        </w:tc>
        <w:tc>
          <w:tcPr>
            <w:tcW w:w="3474" w:type="dxa"/>
          </w:tcPr>
          <w:p w14:paraId="24F6B0E1" w14:textId="77777777" w:rsidR="00961CBE" w:rsidRPr="00961CBE" w:rsidRDefault="00943511" w:rsidP="00556AD2">
            <w:pPr>
              <w:rPr>
                <w:rFonts w:ascii="Arial" w:hAnsi="Arial" w:cs="Arial"/>
                <w:sz w:val="24"/>
                <w:szCs w:val="24"/>
              </w:rPr>
            </w:pPr>
            <w:r w:rsidRPr="00943511">
              <w:rPr>
                <w:rFonts w:ascii="Arial" w:hAnsi="Arial" w:cs="Arial"/>
                <w:sz w:val="24"/>
                <w:szCs w:val="24"/>
              </w:rPr>
              <w:t>Automated Tracking of Emergency Response Expenditures Related to COVID-19</w:t>
            </w:r>
          </w:p>
        </w:tc>
        <w:tc>
          <w:tcPr>
            <w:tcW w:w="1656" w:type="dxa"/>
          </w:tcPr>
          <w:p w14:paraId="26EC5BF7" w14:textId="77777777" w:rsidR="00961CBE" w:rsidRPr="00961CBE" w:rsidRDefault="00943511" w:rsidP="00556AD2">
            <w:pPr>
              <w:rPr>
                <w:rFonts w:ascii="Arial" w:hAnsi="Arial" w:cs="Arial"/>
                <w:sz w:val="24"/>
                <w:szCs w:val="24"/>
              </w:rPr>
            </w:pPr>
            <w:r>
              <w:rPr>
                <w:rFonts w:ascii="Arial" w:hAnsi="Arial" w:cs="Arial"/>
                <w:sz w:val="24"/>
                <w:szCs w:val="24"/>
              </w:rPr>
              <w:t>3/23/2020</w:t>
            </w:r>
          </w:p>
        </w:tc>
        <w:tc>
          <w:tcPr>
            <w:tcW w:w="4140" w:type="dxa"/>
          </w:tcPr>
          <w:p w14:paraId="5490DD5C" w14:textId="77777777" w:rsidR="00961CBE" w:rsidRPr="00961CBE" w:rsidRDefault="00943511" w:rsidP="00556AD2">
            <w:pPr>
              <w:rPr>
                <w:rFonts w:ascii="Arial" w:hAnsi="Arial" w:cs="Arial"/>
                <w:sz w:val="24"/>
                <w:szCs w:val="24"/>
              </w:rPr>
            </w:pPr>
            <w:r w:rsidRPr="00943511">
              <w:rPr>
                <w:rFonts w:ascii="Arial" w:hAnsi="Arial" w:cs="Arial"/>
                <w:sz w:val="24"/>
                <w:szCs w:val="24"/>
              </w:rPr>
              <w:t>This Office of Acquisition and Logistics Management (OALM) Guidance is being issued to address how Institutes/Centers (IC) will track emergency response purchases related to COVID-19</w:t>
            </w:r>
          </w:p>
        </w:tc>
      </w:tr>
      <w:tr w:rsidR="00C1069A" w:rsidRPr="00961CBE" w14:paraId="54966326" w14:textId="77777777" w:rsidTr="00D733A4">
        <w:trPr>
          <w:trHeight w:val="440"/>
        </w:trPr>
        <w:tc>
          <w:tcPr>
            <w:tcW w:w="1252" w:type="dxa"/>
          </w:tcPr>
          <w:p w14:paraId="235E1DB4" w14:textId="77777777" w:rsidR="00961CBE" w:rsidRPr="00961CBE" w:rsidRDefault="00795A99" w:rsidP="00556AD2">
            <w:pPr>
              <w:rPr>
                <w:rFonts w:ascii="Arial" w:hAnsi="Arial" w:cs="Arial"/>
                <w:sz w:val="24"/>
                <w:szCs w:val="24"/>
              </w:rPr>
            </w:pPr>
            <w:r>
              <w:rPr>
                <w:rFonts w:ascii="Arial" w:hAnsi="Arial" w:cs="Arial"/>
                <w:sz w:val="24"/>
                <w:szCs w:val="24"/>
              </w:rPr>
              <w:t>20-26</w:t>
            </w:r>
          </w:p>
        </w:tc>
        <w:tc>
          <w:tcPr>
            <w:tcW w:w="3474" w:type="dxa"/>
          </w:tcPr>
          <w:p w14:paraId="6CA6514A" w14:textId="77777777" w:rsidR="00961CBE" w:rsidRPr="00961CBE" w:rsidRDefault="00943511" w:rsidP="00556AD2">
            <w:pPr>
              <w:rPr>
                <w:rFonts w:ascii="Arial" w:hAnsi="Arial" w:cs="Arial"/>
                <w:sz w:val="24"/>
                <w:szCs w:val="24"/>
              </w:rPr>
            </w:pPr>
            <w:r w:rsidRPr="00943511">
              <w:rPr>
                <w:rFonts w:ascii="Arial" w:hAnsi="Arial" w:cs="Arial"/>
                <w:sz w:val="24"/>
                <w:szCs w:val="24"/>
              </w:rPr>
              <w:t>DCIS is Down</w:t>
            </w:r>
          </w:p>
        </w:tc>
        <w:tc>
          <w:tcPr>
            <w:tcW w:w="1656" w:type="dxa"/>
          </w:tcPr>
          <w:p w14:paraId="438967FD" w14:textId="77777777" w:rsidR="00961CBE" w:rsidRPr="00961CBE" w:rsidRDefault="00943511" w:rsidP="00556AD2">
            <w:pPr>
              <w:rPr>
                <w:rFonts w:ascii="Arial" w:hAnsi="Arial" w:cs="Arial"/>
                <w:sz w:val="24"/>
                <w:szCs w:val="24"/>
              </w:rPr>
            </w:pPr>
            <w:r>
              <w:rPr>
                <w:rFonts w:ascii="Arial" w:hAnsi="Arial" w:cs="Arial"/>
                <w:sz w:val="24"/>
                <w:szCs w:val="24"/>
              </w:rPr>
              <w:t>3/24/2020</w:t>
            </w:r>
          </w:p>
        </w:tc>
        <w:tc>
          <w:tcPr>
            <w:tcW w:w="4140" w:type="dxa"/>
          </w:tcPr>
          <w:p w14:paraId="0967222A" w14:textId="77777777" w:rsidR="00961CBE" w:rsidRPr="00961CBE" w:rsidRDefault="00943511" w:rsidP="00556AD2">
            <w:pPr>
              <w:rPr>
                <w:rFonts w:ascii="Arial" w:hAnsi="Arial" w:cs="Arial"/>
                <w:sz w:val="24"/>
                <w:szCs w:val="24"/>
              </w:rPr>
            </w:pPr>
            <w:r>
              <w:rPr>
                <w:rFonts w:ascii="Arial" w:hAnsi="Arial" w:cs="Arial"/>
                <w:sz w:val="24"/>
                <w:szCs w:val="24"/>
              </w:rPr>
              <w:t xml:space="preserve">DCIS is unavailable </w:t>
            </w:r>
          </w:p>
        </w:tc>
      </w:tr>
      <w:tr w:rsidR="00C1069A" w:rsidRPr="00961CBE" w14:paraId="71075EEA" w14:textId="77777777" w:rsidTr="00D733A4">
        <w:trPr>
          <w:trHeight w:val="440"/>
        </w:trPr>
        <w:tc>
          <w:tcPr>
            <w:tcW w:w="1252" w:type="dxa"/>
          </w:tcPr>
          <w:p w14:paraId="286683FF" w14:textId="77777777" w:rsidR="00961CBE" w:rsidRPr="00961CBE" w:rsidRDefault="00795A99" w:rsidP="00556AD2">
            <w:pPr>
              <w:rPr>
                <w:rFonts w:ascii="Arial" w:hAnsi="Arial" w:cs="Arial"/>
                <w:sz w:val="24"/>
                <w:szCs w:val="24"/>
              </w:rPr>
            </w:pPr>
            <w:r>
              <w:rPr>
                <w:rFonts w:ascii="Arial" w:hAnsi="Arial" w:cs="Arial"/>
                <w:sz w:val="24"/>
                <w:szCs w:val="24"/>
              </w:rPr>
              <w:t>20-27</w:t>
            </w:r>
          </w:p>
        </w:tc>
        <w:tc>
          <w:tcPr>
            <w:tcW w:w="3474" w:type="dxa"/>
          </w:tcPr>
          <w:p w14:paraId="7FE28348" w14:textId="77777777" w:rsidR="00961CBE" w:rsidRPr="00961CBE" w:rsidRDefault="00943511" w:rsidP="00556AD2">
            <w:pPr>
              <w:rPr>
                <w:rFonts w:ascii="Arial" w:hAnsi="Arial" w:cs="Arial"/>
                <w:sz w:val="24"/>
                <w:szCs w:val="24"/>
              </w:rPr>
            </w:pPr>
            <w:r w:rsidRPr="00943511">
              <w:rPr>
                <w:rFonts w:ascii="Arial" w:hAnsi="Arial" w:cs="Arial"/>
                <w:sz w:val="24"/>
                <w:szCs w:val="24"/>
              </w:rPr>
              <w:t>Consolidation of COVID-19 Acquisition information</w:t>
            </w:r>
          </w:p>
        </w:tc>
        <w:tc>
          <w:tcPr>
            <w:tcW w:w="1656" w:type="dxa"/>
          </w:tcPr>
          <w:p w14:paraId="2FD36375" w14:textId="77777777" w:rsidR="00961CBE" w:rsidRPr="00961CBE" w:rsidRDefault="00943511" w:rsidP="00556AD2">
            <w:pPr>
              <w:rPr>
                <w:rFonts w:ascii="Arial" w:hAnsi="Arial" w:cs="Arial"/>
                <w:sz w:val="24"/>
                <w:szCs w:val="24"/>
              </w:rPr>
            </w:pPr>
            <w:r>
              <w:rPr>
                <w:rFonts w:ascii="Arial" w:hAnsi="Arial" w:cs="Arial"/>
                <w:sz w:val="24"/>
                <w:szCs w:val="24"/>
              </w:rPr>
              <w:t>3/26/2020</w:t>
            </w:r>
          </w:p>
        </w:tc>
        <w:tc>
          <w:tcPr>
            <w:tcW w:w="4140" w:type="dxa"/>
          </w:tcPr>
          <w:p w14:paraId="5B9B548C" w14:textId="77777777" w:rsidR="00961CBE" w:rsidRPr="00961CBE" w:rsidRDefault="00943511" w:rsidP="00556AD2">
            <w:pPr>
              <w:rPr>
                <w:rFonts w:ascii="Arial" w:hAnsi="Arial" w:cs="Arial"/>
                <w:sz w:val="24"/>
                <w:szCs w:val="24"/>
              </w:rPr>
            </w:pPr>
            <w:r w:rsidRPr="00943511">
              <w:rPr>
                <w:rFonts w:ascii="Arial" w:hAnsi="Arial" w:cs="Arial"/>
                <w:sz w:val="24"/>
                <w:szCs w:val="24"/>
              </w:rPr>
              <w:t>OALM/OAMP is consolidating COVID-19 information needed by the Acquisition community; this includes acquisition resources for contracting and ordering staff, CORs and program staff</w:t>
            </w:r>
          </w:p>
        </w:tc>
      </w:tr>
      <w:tr w:rsidR="00C1069A" w:rsidRPr="00961CBE" w14:paraId="1F6A8829" w14:textId="77777777" w:rsidTr="00D733A4">
        <w:trPr>
          <w:trHeight w:val="440"/>
        </w:trPr>
        <w:tc>
          <w:tcPr>
            <w:tcW w:w="1252" w:type="dxa"/>
          </w:tcPr>
          <w:p w14:paraId="42D131F7" w14:textId="77777777" w:rsidR="00961CBE" w:rsidRPr="00961CBE" w:rsidRDefault="00795A99" w:rsidP="00556AD2">
            <w:pPr>
              <w:rPr>
                <w:rFonts w:ascii="Arial" w:hAnsi="Arial" w:cs="Arial"/>
                <w:sz w:val="24"/>
                <w:szCs w:val="24"/>
              </w:rPr>
            </w:pPr>
            <w:r>
              <w:rPr>
                <w:rFonts w:ascii="Arial" w:hAnsi="Arial" w:cs="Arial"/>
                <w:sz w:val="24"/>
                <w:szCs w:val="24"/>
              </w:rPr>
              <w:t>20-28</w:t>
            </w:r>
          </w:p>
        </w:tc>
        <w:tc>
          <w:tcPr>
            <w:tcW w:w="3474" w:type="dxa"/>
          </w:tcPr>
          <w:p w14:paraId="6E76AD6A" w14:textId="77777777" w:rsidR="00961CBE" w:rsidRPr="00961CBE" w:rsidRDefault="00943511" w:rsidP="00556AD2">
            <w:pPr>
              <w:rPr>
                <w:rFonts w:ascii="Arial" w:hAnsi="Arial" w:cs="Arial"/>
                <w:sz w:val="24"/>
                <w:szCs w:val="24"/>
              </w:rPr>
            </w:pPr>
            <w:r w:rsidRPr="00943511">
              <w:rPr>
                <w:rFonts w:ascii="Arial" w:hAnsi="Arial" w:cs="Arial"/>
                <w:sz w:val="24"/>
                <w:szCs w:val="24"/>
              </w:rPr>
              <w:t>Supplemental Guidance for COVID-19 Emergency Acquisition Flexibilities: Adding Non-SAM Vendors to NBS</w:t>
            </w:r>
          </w:p>
        </w:tc>
        <w:tc>
          <w:tcPr>
            <w:tcW w:w="1656" w:type="dxa"/>
          </w:tcPr>
          <w:p w14:paraId="59E7AFCC" w14:textId="77777777" w:rsidR="00961CBE" w:rsidRPr="00961CBE" w:rsidRDefault="00943511" w:rsidP="00556AD2">
            <w:pPr>
              <w:rPr>
                <w:rFonts w:ascii="Arial" w:hAnsi="Arial" w:cs="Arial"/>
                <w:sz w:val="24"/>
                <w:szCs w:val="24"/>
              </w:rPr>
            </w:pPr>
            <w:r>
              <w:rPr>
                <w:rFonts w:ascii="Arial" w:hAnsi="Arial" w:cs="Arial"/>
                <w:sz w:val="24"/>
                <w:szCs w:val="24"/>
              </w:rPr>
              <w:t>3/26/2020</w:t>
            </w:r>
          </w:p>
        </w:tc>
        <w:tc>
          <w:tcPr>
            <w:tcW w:w="4140" w:type="dxa"/>
          </w:tcPr>
          <w:p w14:paraId="284FFB5B" w14:textId="77777777" w:rsidR="00961CBE" w:rsidRPr="00961CBE" w:rsidRDefault="00943511" w:rsidP="00556AD2">
            <w:pPr>
              <w:rPr>
                <w:rFonts w:ascii="Arial" w:hAnsi="Arial" w:cs="Arial"/>
                <w:sz w:val="24"/>
                <w:szCs w:val="24"/>
              </w:rPr>
            </w:pPr>
            <w:r w:rsidRPr="00943511">
              <w:rPr>
                <w:rFonts w:ascii="Arial" w:hAnsi="Arial" w:cs="Arial"/>
                <w:sz w:val="24"/>
                <w:szCs w:val="24"/>
              </w:rPr>
              <w:t>general guidance for using NBS for COVID-19 vendors who are not registered in SAM</w:t>
            </w:r>
          </w:p>
        </w:tc>
      </w:tr>
      <w:tr w:rsidR="00C1069A" w:rsidRPr="00961CBE" w14:paraId="1F235690" w14:textId="77777777" w:rsidTr="00D733A4">
        <w:trPr>
          <w:trHeight w:val="1781"/>
        </w:trPr>
        <w:tc>
          <w:tcPr>
            <w:tcW w:w="1252" w:type="dxa"/>
          </w:tcPr>
          <w:p w14:paraId="54F645EA" w14:textId="77777777" w:rsidR="00961CBE" w:rsidRPr="00961CBE" w:rsidRDefault="00795A99" w:rsidP="00556AD2">
            <w:pPr>
              <w:rPr>
                <w:rFonts w:ascii="Arial" w:hAnsi="Arial" w:cs="Arial"/>
                <w:sz w:val="24"/>
                <w:szCs w:val="24"/>
              </w:rPr>
            </w:pPr>
            <w:r>
              <w:rPr>
                <w:rFonts w:ascii="Arial" w:hAnsi="Arial" w:cs="Arial"/>
                <w:sz w:val="24"/>
                <w:szCs w:val="24"/>
              </w:rPr>
              <w:t>20-29</w:t>
            </w:r>
          </w:p>
        </w:tc>
        <w:tc>
          <w:tcPr>
            <w:tcW w:w="3474" w:type="dxa"/>
          </w:tcPr>
          <w:p w14:paraId="06E5049E" w14:textId="77777777" w:rsidR="00961CBE" w:rsidRPr="00961CBE" w:rsidRDefault="00943511" w:rsidP="00556AD2">
            <w:pPr>
              <w:rPr>
                <w:rFonts w:ascii="Arial" w:hAnsi="Arial" w:cs="Arial"/>
                <w:sz w:val="24"/>
                <w:szCs w:val="24"/>
              </w:rPr>
            </w:pPr>
            <w:r w:rsidRPr="00943511">
              <w:rPr>
                <w:rFonts w:ascii="Arial" w:hAnsi="Arial" w:cs="Arial"/>
                <w:sz w:val="24"/>
                <w:szCs w:val="24"/>
              </w:rPr>
              <w:t>OAMP Guidance to Contracting Officers and Contracting Officer’s Representatives in Response to the Coronavirus Disease (COVID-19)</w:t>
            </w:r>
          </w:p>
        </w:tc>
        <w:tc>
          <w:tcPr>
            <w:tcW w:w="1656" w:type="dxa"/>
          </w:tcPr>
          <w:p w14:paraId="1AEED660" w14:textId="77777777" w:rsidR="00961CBE" w:rsidRPr="00961CBE" w:rsidRDefault="00943511" w:rsidP="00556AD2">
            <w:pPr>
              <w:rPr>
                <w:rFonts w:ascii="Arial" w:hAnsi="Arial" w:cs="Arial"/>
                <w:sz w:val="24"/>
                <w:szCs w:val="24"/>
              </w:rPr>
            </w:pPr>
            <w:r>
              <w:rPr>
                <w:rFonts w:ascii="Arial" w:hAnsi="Arial" w:cs="Arial"/>
                <w:sz w:val="24"/>
                <w:szCs w:val="24"/>
              </w:rPr>
              <w:t>3/27/2020</w:t>
            </w:r>
          </w:p>
        </w:tc>
        <w:tc>
          <w:tcPr>
            <w:tcW w:w="4140" w:type="dxa"/>
          </w:tcPr>
          <w:p w14:paraId="57A2E476" w14:textId="77777777" w:rsidR="00961CBE" w:rsidRPr="00961CBE" w:rsidRDefault="00943511" w:rsidP="00556AD2">
            <w:pPr>
              <w:rPr>
                <w:rFonts w:ascii="Arial" w:hAnsi="Arial" w:cs="Arial"/>
                <w:sz w:val="24"/>
                <w:szCs w:val="24"/>
              </w:rPr>
            </w:pPr>
            <w:r w:rsidRPr="00943511">
              <w:rPr>
                <w:rFonts w:ascii="Arial" w:hAnsi="Arial" w:cs="Arial"/>
                <w:sz w:val="24"/>
                <w:szCs w:val="24"/>
              </w:rPr>
              <w:t>OAMP Guidance to Contracting Officers and Contracting Officer’s Representatives in Response to the Coronavirus Disease (COVID-19) addressing key elements associated with emergency acquisition flexibilities</w:t>
            </w:r>
          </w:p>
        </w:tc>
      </w:tr>
      <w:tr w:rsidR="00C1069A" w:rsidRPr="00961CBE" w14:paraId="7072463E" w14:textId="77777777" w:rsidTr="00D733A4">
        <w:trPr>
          <w:trHeight w:val="440"/>
        </w:trPr>
        <w:tc>
          <w:tcPr>
            <w:tcW w:w="1252" w:type="dxa"/>
          </w:tcPr>
          <w:p w14:paraId="29BCA808" w14:textId="77777777" w:rsidR="00961CBE" w:rsidRPr="00961CBE" w:rsidRDefault="00795A99" w:rsidP="00556AD2">
            <w:pPr>
              <w:rPr>
                <w:rFonts w:ascii="Arial" w:hAnsi="Arial" w:cs="Arial"/>
                <w:sz w:val="24"/>
                <w:szCs w:val="24"/>
              </w:rPr>
            </w:pPr>
            <w:r>
              <w:rPr>
                <w:rFonts w:ascii="Arial" w:hAnsi="Arial" w:cs="Arial"/>
                <w:sz w:val="24"/>
                <w:szCs w:val="24"/>
              </w:rPr>
              <w:t>20-30</w:t>
            </w:r>
          </w:p>
        </w:tc>
        <w:tc>
          <w:tcPr>
            <w:tcW w:w="3474" w:type="dxa"/>
          </w:tcPr>
          <w:p w14:paraId="45870CF4" w14:textId="77777777" w:rsidR="00961CBE" w:rsidRPr="00961CBE" w:rsidRDefault="00943511" w:rsidP="00556AD2">
            <w:pPr>
              <w:rPr>
                <w:rFonts w:ascii="Arial" w:hAnsi="Arial" w:cs="Arial"/>
                <w:sz w:val="24"/>
                <w:szCs w:val="24"/>
              </w:rPr>
            </w:pPr>
            <w:r w:rsidRPr="00943511">
              <w:rPr>
                <w:rFonts w:ascii="Arial" w:hAnsi="Arial" w:cs="Arial"/>
                <w:sz w:val="24"/>
                <w:szCs w:val="24"/>
              </w:rPr>
              <w:t>Guidance on Deliveries During COVID-19 Emergency</w:t>
            </w:r>
          </w:p>
        </w:tc>
        <w:tc>
          <w:tcPr>
            <w:tcW w:w="1656" w:type="dxa"/>
          </w:tcPr>
          <w:p w14:paraId="6908C282" w14:textId="77777777" w:rsidR="00961CBE" w:rsidRPr="00961CBE" w:rsidRDefault="002A489C" w:rsidP="00556AD2">
            <w:pPr>
              <w:rPr>
                <w:rFonts w:ascii="Arial" w:hAnsi="Arial" w:cs="Arial"/>
                <w:sz w:val="24"/>
                <w:szCs w:val="24"/>
              </w:rPr>
            </w:pPr>
            <w:r>
              <w:rPr>
                <w:rFonts w:ascii="Arial" w:hAnsi="Arial" w:cs="Arial"/>
                <w:sz w:val="24"/>
                <w:szCs w:val="24"/>
              </w:rPr>
              <w:t>3/27/2020</w:t>
            </w:r>
          </w:p>
        </w:tc>
        <w:tc>
          <w:tcPr>
            <w:tcW w:w="4140" w:type="dxa"/>
          </w:tcPr>
          <w:p w14:paraId="101AD537" w14:textId="77777777" w:rsidR="00961CBE" w:rsidRPr="00961CBE" w:rsidRDefault="002A0DA6" w:rsidP="00556AD2">
            <w:pPr>
              <w:rPr>
                <w:rFonts w:ascii="Arial" w:hAnsi="Arial" w:cs="Arial"/>
                <w:sz w:val="24"/>
                <w:szCs w:val="24"/>
              </w:rPr>
            </w:pPr>
            <w:r>
              <w:rPr>
                <w:rFonts w:ascii="Arial" w:hAnsi="Arial" w:cs="Arial"/>
                <w:sz w:val="24"/>
                <w:szCs w:val="24"/>
              </w:rPr>
              <w:t>A</w:t>
            </w:r>
            <w:r w:rsidR="002A489C" w:rsidRPr="002A489C">
              <w:rPr>
                <w:rFonts w:ascii="Arial" w:hAnsi="Arial" w:cs="Arial"/>
                <w:sz w:val="24"/>
                <w:szCs w:val="24"/>
              </w:rPr>
              <w:t>ttached guidance has been developed to assist with on campus and off campus deliveries during the COVID-19 emergency</w:t>
            </w:r>
          </w:p>
        </w:tc>
      </w:tr>
      <w:tr w:rsidR="00C1069A" w:rsidRPr="00961CBE" w14:paraId="04BC57AB" w14:textId="77777777" w:rsidTr="00D733A4">
        <w:trPr>
          <w:trHeight w:val="440"/>
        </w:trPr>
        <w:tc>
          <w:tcPr>
            <w:tcW w:w="1252" w:type="dxa"/>
          </w:tcPr>
          <w:p w14:paraId="6AFD9941"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0.1</w:t>
            </w:r>
          </w:p>
        </w:tc>
        <w:tc>
          <w:tcPr>
            <w:tcW w:w="3474" w:type="dxa"/>
          </w:tcPr>
          <w:p w14:paraId="1DED3FA3" w14:textId="77777777" w:rsidR="00795A99" w:rsidRPr="00961CBE" w:rsidRDefault="002A489C" w:rsidP="00556AD2">
            <w:pPr>
              <w:rPr>
                <w:rFonts w:ascii="Arial" w:hAnsi="Arial" w:cs="Arial"/>
                <w:sz w:val="24"/>
                <w:szCs w:val="24"/>
              </w:rPr>
            </w:pPr>
            <w:r>
              <w:rPr>
                <w:rFonts w:ascii="Arial" w:hAnsi="Arial" w:cs="Arial"/>
                <w:sz w:val="24"/>
                <w:szCs w:val="24"/>
              </w:rPr>
              <w:t>Guidance on Deliveries During COVID-19 Emergency</w:t>
            </w:r>
          </w:p>
        </w:tc>
        <w:tc>
          <w:tcPr>
            <w:tcW w:w="1656" w:type="dxa"/>
          </w:tcPr>
          <w:p w14:paraId="31AF0EC8" w14:textId="77777777" w:rsidR="00795A99" w:rsidRPr="00961CBE" w:rsidRDefault="002A489C" w:rsidP="00556AD2">
            <w:pPr>
              <w:rPr>
                <w:rFonts w:ascii="Arial" w:hAnsi="Arial" w:cs="Arial"/>
                <w:sz w:val="24"/>
                <w:szCs w:val="24"/>
              </w:rPr>
            </w:pPr>
            <w:r>
              <w:rPr>
                <w:rFonts w:ascii="Arial" w:hAnsi="Arial" w:cs="Arial"/>
                <w:sz w:val="24"/>
                <w:szCs w:val="24"/>
              </w:rPr>
              <w:t>3/27/2020</w:t>
            </w:r>
          </w:p>
        </w:tc>
        <w:tc>
          <w:tcPr>
            <w:tcW w:w="4140" w:type="dxa"/>
          </w:tcPr>
          <w:p w14:paraId="23D6DBD6" w14:textId="77777777" w:rsidR="00795A99" w:rsidRPr="00961CBE" w:rsidRDefault="002A489C" w:rsidP="00556AD2">
            <w:pPr>
              <w:rPr>
                <w:rFonts w:ascii="Arial" w:hAnsi="Arial" w:cs="Arial"/>
                <w:sz w:val="24"/>
                <w:szCs w:val="24"/>
              </w:rPr>
            </w:pPr>
            <w:r>
              <w:rPr>
                <w:rFonts w:ascii="Arial" w:hAnsi="Arial" w:cs="Arial"/>
                <w:sz w:val="24"/>
                <w:szCs w:val="24"/>
              </w:rPr>
              <w:t xml:space="preserve">Updated guidance to </w:t>
            </w:r>
            <w:r w:rsidRPr="002A489C">
              <w:rPr>
                <w:rFonts w:ascii="Arial" w:hAnsi="Arial" w:cs="Arial"/>
                <w:sz w:val="24"/>
                <w:szCs w:val="24"/>
              </w:rPr>
              <w:t>assist with on campus and off campus deliveries during the COVID-19 emergency</w:t>
            </w:r>
          </w:p>
        </w:tc>
      </w:tr>
      <w:tr w:rsidR="00C1069A" w:rsidRPr="00961CBE" w14:paraId="05FF128C" w14:textId="77777777" w:rsidTr="00D733A4">
        <w:trPr>
          <w:trHeight w:val="440"/>
        </w:trPr>
        <w:tc>
          <w:tcPr>
            <w:tcW w:w="1252" w:type="dxa"/>
          </w:tcPr>
          <w:p w14:paraId="487BF411"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1</w:t>
            </w:r>
          </w:p>
        </w:tc>
        <w:tc>
          <w:tcPr>
            <w:tcW w:w="3474" w:type="dxa"/>
          </w:tcPr>
          <w:p w14:paraId="564F0BD0" w14:textId="77777777" w:rsidR="00795A99" w:rsidRPr="00961CBE" w:rsidRDefault="002A489C" w:rsidP="00556AD2">
            <w:pPr>
              <w:rPr>
                <w:rFonts w:ascii="Arial" w:hAnsi="Arial" w:cs="Arial"/>
                <w:sz w:val="24"/>
                <w:szCs w:val="24"/>
              </w:rPr>
            </w:pPr>
            <w:r w:rsidRPr="002A489C">
              <w:rPr>
                <w:rFonts w:ascii="Arial" w:hAnsi="Arial" w:cs="Arial"/>
                <w:sz w:val="24"/>
                <w:szCs w:val="24"/>
              </w:rPr>
              <w:t>Resolving FY 2015 Canceling Year Lines</w:t>
            </w:r>
          </w:p>
        </w:tc>
        <w:tc>
          <w:tcPr>
            <w:tcW w:w="1656" w:type="dxa"/>
          </w:tcPr>
          <w:p w14:paraId="31850A06" w14:textId="77777777" w:rsidR="00795A99" w:rsidRPr="00961CBE" w:rsidRDefault="002A489C" w:rsidP="00556AD2">
            <w:pPr>
              <w:rPr>
                <w:rFonts w:ascii="Arial" w:hAnsi="Arial" w:cs="Arial"/>
                <w:sz w:val="24"/>
                <w:szCs w:val="24"/>
              </w:rPr>
            </w:pPr>
            <w:r>
              <w:rPr>
                <w:rFonts w:ascii="Arial" w:hAnsi="Arial" w:cs="Arial"/>
                <w:sz w:val="24"/>
                <w:szCs w:val="24"/>
              </w:rPr>
              <w:t>3/30/2020</w:t>
            </w:r>
          </w:p>
        </w:tc>
        <w:tc>
          <w:tcPr>
            <w:tcW w:w="4140" w:type="dxa"/>
          </w:tcPr>
          <w:p w14:paraId="57DE4B64" w14:textId="77777777" w:rsidR="00795A99" w:rsidRPr="00961CBE" w:rsidRDefault="002A489C" w:rsidP="00556AD2">
            <w:pPr>
              <w:rPr>
                <w:rFonts w:ascii="Arial" w:hAnsi="Arial" w:cs="Arial"/>
                <w:sz w:val="24"/>
                <w:szCs w:val="24"/>
              </w:rPr>
            </w:pPr>
            <w:r w:rsidRPr="002A489C">
              <w:rPr>
                <w:rFonts w:ascii="Arial" w:hAnsi="Arial" w:cs="Arial"/>
                <w:sz w:val="24"/>
                <w:szCs w:val="24"/>
              </w:rPr>
              <w:t>Certain appropriations are available for obligation for a specific period, i.e., annual and multi-year appropriations. NIH’s approach is to have these lines resolved by Ju</w:t>
            </w:r>
            <w:r>
              <w:rPr>
                <w:rFonts w:ascii="Arial" w:hAnsi="Arial" w:cs="Arial"/>
                <w:sz w:val="24"/>
                <w:szCs w:val="24"/>
              </w:rPr>
              <w:t xml:space="preserve">ly </w:t>
            </w:r>
            <w:r w:rsidRPr="002A489C">
              <w:rPr>
                <w:rFonts w:ascii="Arial" w:hAnsi="Arial" w:cs="Arial"/>
                <w:sz w:val="24"/>
                <w:szCs w:val="24"/>
              </w:rPr>
              <w:t>3</w:t>
            </w:r>
            <w:r>
              <w:rPr>
                <w:rFonts w:ascii="Arial" w:hAnsi="Arial" w:cs="Arial"/>
                <w:sz w:val="24"/>
                <w:szCs w:val="24"/>
              </w:rPr>
              <w:t>1</w:t>
            </w:r>
            <w:r w:rsidRPr="002A489C">
              <w:rPr>
                <w:rFonts w:ascii="Arial" w:hAnsi="Arial" w:cs="Arial"/>
                <w:sz w:val="24"/>
                <w:szCs w:val="24"/>
              </w:rPr>
              <w:t>, 2020</w:t>
            </w:r>
          </w:p>
        </w:tc>
      </w:tr>
      <w:tr w:rsidR="00C1069A" w:rsidRPr="00961CBE" w14:paraId="60B62DEE" w14:textId="77777777" w:rsidTr="00D733A4">
        <w:trPr>
          <w:trHeight w:val="440"/>
        </w:trPr>
        <w:tc>
          <w:tcPr>
            <w:tcW w:w="1252" w:type="dxa"/>
          </w:tcPr>
          <w:p w14:paraId="257748D2"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2</w:t>
            </w:r>
          </w:p>
        </w:tc>
        <w:tc>
          <w:tcPr>
            <w:tcW w:w="3474" w:type="dxa"/>
          </w:tcPr>
          <w:p w14:paraId="6C317076" w14:textId="77777777" w:rsidR="00795A99" w:rsidRPr="00961CBE" w:rsidRDefault="002A489C" w:rsidP="00556AD2">
            <w:pPr>
              <w:rPr>
                <w:rFonts w:ascii="Arial" w:hAnsi="Arial" w:cs="Arial"/>
                <w:sz w:val="24"/>
                <w:szCs w:val="24"/>
              </w:rPr>
            </w:pPr>
            <w:r w:rsidRPr="002A489C">
              <w:rPr>
                <w:rFonts w:ascii="Arial" w:hAnsi="Arial" w:cs="Arial"/>
                <w:sz w:val="24"/>
                <w:szCs w:val="24"/>
              </w:rPr>
              <w:t>COVID-19: Posting Notices to SAM/FBO</w:t>
            </w:r>
          </w:p>
        </w:tc>
        <w:tc>
          <w:tcPr>
            <w:tcW w:w="1656" w:type="dxa"/>
          </w:tcPr>
          <w:p w14:paraId="3FB44658" w14:textId="77777777" w:rsidR="00795A99" w:rsidRPr="00961CBE" w:rsidRDefault="002A489C" w:rsidP="00556AD2">
            <w:pPr>
              <w:rPr>
                <w:rFonts w:ascii="Arial" w:hAnsi="Arial" w:cs="Arial"/>
                <w:sz w:val="24"/>
                <w:szCs w:val="24"/>
              </w:rPr>
            </w:pPr>
            <w:r>
              <w:rPr>
                <w:rFonts w:ascii="Arial" w:hAnsi="Arial" w:cs="Arial"/>
                <w:sz w:val="24"/>
                <w:szCs w:val="24"/>
              </w:rPr>
              <w:t>4/03/2020</w:t>
            </w:r>
          </w:p>
        </w:tc>
        <w:tc>
          <w:tcPr>
            <w:tcW w:w="4140" w:type="dxa"/>
          </w:tcPr>
          <w:p w14:paraId="01FB71F8" w14:textId="77777777" w:rsidR="002A489C" w:rsidRPr="002A489C" w:rsidRDefault="002A489C" w:rsidP="00556AD2">
            <w:pPr>
              <w:rPr>
                <w:rFonts w:ascii="Arial" w:hAnsi="Arial" w:cs="Arial"/>
                <w:sz w:val="24"/>
                <w:szCs w:val="24"/>
              </w:rPr>
            </w:pPr>
            <w:r>
              <w:rPr>
                <w:rFonts w:ascii="Arial" w:hAnsi="Arial" w:cs="Arial"/>
                <w:sz w:val="24"/>
                <w:szCs w:val="24"/>
              </w:rPr>
              <w:t>G</w:t>
            </w:r>
            <w:r w:rsidRPr="002A489C">
              <w:rPr>
                <w:rFonts w:ascii="Arial" w:hAnsi="Arial" w:cs="Arial"/>
                <w:sz w:val="24"/>
                <w:szCs w:val="24"/>
              </w:rPr>
              <w:t>eneral guidance regarding the posting of COVID-19/Coronavirus-related Notices to SAM/FBO</w:t>
            </w:r>
          </w:p>
          <w:p w14:paraId="264FDBF6" w14:textId="77777777" w:rsidR="00795A99" w:rsidRPr="00961CBE" w:rsidRDefault="00795A99" w:rsidP="00556AD2">
            <w:pPr>
              <w:rPr>
                <w:rFonts w:ascii="Arial" w:hAnsi="Arial" w:cs="Arial"/>
                <w:sz w:val="24"/>
                <w:szCs w:val="24"/>
              </w:rPr>
            </w:pPr>
          </w:p>
        </w:tc>
      </w:tr>
      <w:tr w:rsidR="00C1069A" w:rsidRPr="00961CBE" w14:paraId="402578AB" w14:textId="77777777" w:rsidTr="00D733A4">
        <w:trPr>
          <w:trHeight w:val="440"/>
        </w:trPr>
        <w:tc>
          <w:tcPr>
            <w:tcW w:w="1252" w:type="dxa"/>
          </w:tcPr>
          <w:p w14:paraId="480CF1D5"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3</w:t>
            </w:r>
          </w:p>
        </w:tc>
        <w:tc>
          <w:tcPr>
            <w:tcW w:w="3474" w:type="dxa"/>
          </w:tcPr>
          <w:p w14:paraId="33A64136" w14:textId="77777777" w:rsidR="00795A99" w:rsidRPr="00961CBE" w:rsidRDefault="002A489C" w:rsidP="00556AD2">
            <w:pPr>
              <w:rPr>
                <w:rFonts w:ascii="Arial" w:hAnsi="Arial" w:cs="Arial"/>
                <w:sz w:val="24"/>
                <w:szCs w:val="24"/>
              </w:rPr>
            </w:pPr>
            <w:r w:rsidRPr="002A489C">
              <w:rPr>
                <w:rFonts w:ascii="Arial" w:hAnsi="Arial" w:cs="Arial"/>
                <w:sz w:val="24"/>
                <w:szCs w:val="24"/>
              </w:rPr>
              <w:t>Resolving FY 2015 Canceling Year Lines</w:t>
            </w:r>
          </w:p>
        </w:tc>
        <w:tc>
          <w:tcPr>
            <w:tcW w:w="1656" w:type="dxa"/>
          </w:tcPr>
          <w:p w14:paraId="0C207D60" w14:textId="77777777" w:rsidR="00795A99" w:rsidRPr="00961CBE" w:rsidRDefault="002A489C" w:rsidP="00556AD2">
            <w:pPr>
              <w:rPr>
                <w:rFonts w:ascii="Arial" w:hAnsi="Arial" w:cs="Arial"/>
                <w:sz w:val="24"/>
                <w:szCs w:val="24"/>
              </w:rPr>
            </w:pPr>
            <w:r>
              <w:rPr>
                <w:rFonts w:ascii="Arial" w:hAnsi="Arial" w:cs="Arial"/>
                <w:sz w:val="24"/>
                <w:szCs w:val="24"/>
              </w:rPr>
              <w:t>4/06/2020</w:t>
            </w:r>
          </w:p>
        </w:tc>
        <w:tc>
          <w:tcPr>
            <w:tcW w:w="4140" w:type="dxa"/>
          </w:tcPr>
          <w:p w14:paraId="55768DA9" w14:textId="77777777" w:rsidR="00795A99" w:rsidRPr="00961CBE" w:rsidRDefault="00583D42" w:rsidP="00556AD2">
            <w:pPr>
              <w:rPr>
                <w:rFonts w:ascii="Arial" w:hAnsi="Arial" w:cs="Arial"/>
                <w:sz w:val="24"/>
                <w:szCs w:val="24"/>
              </w:rPr>
            </w:pPr>
            <w:r>
              <w:rPr>
                <w:rFonts w:ascii="Arial" w:hAnsi="Arial" w:cs="Arial"/>
                <w:sz w:val="24"/>
                <w:szCs w:val="24"/>
              </w:rPr>
              <w:t>C</w:t>
            </w:r>
            <w:r w:rsidRPr="00583D42">
              <w:rPr>
                <w:rFonts w:ascii="Arial" w:hAnsi="Arial" w:cs="Arial"/>
                <w:sz w:val="24"/>
                <w:szCs w:val="24"/>
              </w:rPr>
              <w:t>ertain appropriations are available for obligation for a specific period, i.e., annual and multi-year appropriations. NIH’s approach is to have these lines resolved by July 31, 2020</w:t>
            </w:r>
          </w:p>
        </w:tc>
      </w:tr>
      <w:tr w:rsidR="00C1069A" w:rsidRPr="00961CBE" w14:paraId="70625F6D" w14:textId="77777777" w:rsidTr="00D733A4">
        <w:trPr>
          <w:trHeight w:val="440"/>
        </w:trPr>
        <w:tc>
          <w:tcPr>
            <w:tcW w:w="1252" w:type="dxa"/>
          </w:tcPr>
          <w:p w14:paraId="7892FDA7"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4</w:t>
            </w:r>
          </w:p>
        </w:tc>
        <w:tc>
          <w:tcPr>
            <w:tcW w:w="3474" w:type="dxa"/>
          </w:tcPr>
          <w:p w14:paraId="3A19DF16" w14:textId="77777777" w:rsidR="00795A99" w:rsidRPr="00961CBE" w:rsidRDefault="00583D42" w:rsidP="00556AD2">
            <w:pPr>
              <w:rPr>
                <w:rFonts w:ascii="Arial" w:hAnsi="Arial" w:cs="Arial"/>
                <w:sz w:val="24"/>
                <w:szCs w:val="24"/>
              </w:rPr>
            </w:pPr>
            <w:r w:rsidRPr="00583D42">
              <w:rPr>
                <w:rFonts w:ascii="Arial" w:hAnsi="Arial" w:cs="Arial"/>
                <w:sz w:val="24"/>
                <w:szCs w:val="24"/>
              </w:rPr>
              <w:t>SAM.gov Downtime Notification</w:t>
            </w:r>
          </w:p>
        </w:tc>
        <w:tc>
          <w:tcPr>
            <w:tcW w:w="1656" w:type="dxa"/>
          </w:tcPr>
          <w:p w14:paraId="0D902CBB" w14:textId="77777777" w:rsidR="00795A99" w:rsidRPr="00961CBE" w:rsidRDefault="00583D42" w:rsidP="00556AD2">
            <w:pPr>
              <w:rPr>
                <w:rFonts w:ascii="Arial" w:hAnsi="Arial" w:cs="Arial"/>
                <w:sz w:val="24"/>
                <w:szCs w:val="24"/>
              </w:rPr>
            </w:pPr>
            <w:r>
              <w:rPr>
                <w:rFonts w:ascii="Arial" w:hAnsi="Arial" w:cs="Arial"/>
                <w:sz w:val="24"/>
                <w:szCs w:val="24"/>
              </w:rPr>
              <w:t>4/09/2020</w:t>
            </w:r>
          </w:p>
        </w:tc>
        <w:tc>
          <w:tcPr>
            <w:tcW w:w="4140" w:type="dxa"/>
          </w:tcPr>
          <w:p w14:paraId="6F10BE53" w14:textId="77777777" w:rsidR="00795A99" w:rsidRPr="00961CBE" w:rsidRDefault="00583D42" w:rsidP="00556AD2">
            <w:pPr>
              <w:rPr>
                <w:rFonts w:ascii="Arial" w:hAnsi="Arial" w:cs="Arial"/>
                <w:sz w:val="24"/>
                <w:szCs w:val="24"/>
              </w:rPr>
            </w:pPr>
            <w:r w:rsidRPr="00583D42">
              <w:rPr>
                <w:rFonts w:ascii="Arial" w:hAnsi="Arial" w:cs="Arial"/>
                <w:sz w:val="24"/>
                <w:szCs w:val="24"/>
              </w:rPr>
              <w:t xml:space="preserve">SAM.gov Downtime </w:t>
            </w:r>
          </w:p>
        </w:tc>
      </w:tr>
      <w:tr w:rsidR="00C1069A" w:rsidRPr="00961CBE" w14:paraId="43F98974" w14:textId="77777777" w:rsidTr="00D733A4">
        <w:trPr>
          <w:trHeight w:val="440"/>
        </w:trPr>
        <w:tc>
          <w:tcPr>
            <w:tcW w:w="1252" w:type="dxa"/>
          </w:tcPr>
          <w:p w14:paraId="08F3BA62"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5</w:t>
            </w:r>
          </w:p>
        </w:tc>
        <w:tc>
          <w:tcPr>
            <w:tcW w:w="3474" w:type="dxa"/>
          </w:tcPr>
          <w:p w14:paraId="0941F6BB" w14:textId="77777777" w:rsidR="00795A99" w:rsidRPr="00961CBE" w:rsidRDefault="00583D42" w:rsidP="00556AD2">
            <w:pPr>
              <w:rPr>
                <w:rFonts w:ascii="Arial" w:hAnsi="Arial" w:cs="Arial"/>
                <w:sz w:val="24"/>
                <w:szCs w:val="24"/>
              </w:rPr>
            </w:pPr>
            <w:r w:rsidRPr="00583D42">
              <w:rPr>
                <w:rFonts w:ascii="Arial" w:hAnsi="Arial" w:cs="Arial"/>
                <w:sz w:val="24"/>
                <w:szCs w:val="24"/>
              </w:rPr>
              <w:t>Resolving FY 2015 Canceling Year Lines</w:t>
            </w:r>
          </w:p>
        </w:tc>
        <w:tc>
          <w:tcPr>
            <w:tcW w:w="1656" w:type="dxa"/>
          </w:tcPr>
          <w:p w14:paraId="42A30F18" w14:textId="77777777" w:rsidR="00795A99" w:rsidRPr="00961CBE" w:rsidRDefault="00583D42" w:rsidP="00556AD2">
            <w:pPr>
              <w:rPr>
                <w:rFonts w:ascii="Arial" w:hAnsi="Arial" w:cs="Arial"/>
                <w:sz w:val="24"/>
                <w:szCs w:val="24"/>
              </w:rPr>
            </w:pPr>
            <w:r>
              <w:rPr>
                <w:rFonts w:ascii="Arial" w:hAnsi="Arial" w:cs="Arial"/>
                <w:sz w:val="24"/>
                <w:szCs w:val="24"/>
              </w:rPr>
              <w:t>4/13/2020</w:t>
            </w:r>
          </w:p>
        </w:tc>
        <w:tc>
          <w:tcPr>
            <w:tcW w:w="4140" w:type="dxa"/>
          </w:tcPr>
          <w:p w14:paraId="0486D72D" w14:textId="77777777" w:rsidR="00795A99" w:rsidRPr="00961CBE" w:rsidRDefault="00583D42" w:rsidP="00556AD2">
            <w:pPr>
              <w:rPr>
                <w:rFonts w:ascii="Arial" w:hAnsi="Arial" w:cs="Arial"/>
                <w:sz w:val="24"/>
                <w:szCs w:val="24"/>
              </w:rPr>
            </w:pPr>
            <w:r w:rsidRPr="00583D42">
              <w:rPr>
                <w:rFonts w:ascii="Arial" w:hAnsi="Arial" w:cs="Arial"/>
                <w:sz w:val="24"/>
                <w:szCs w:val="24"/>
              </w:rPr>
              <w:t>Certain appropriations are available for obligation for a specific period, i.e., annual and multi-year appropriations. NIH’s approach is to have these lines resolved by July 31, 2020</w:t>
            </w:r>
          </w:p>
        </w:tc>
      </w:tr>
      <w:tr w:rsidR="00C1069A" w:rsidRPr="00961CBE" w14:paraId="1F3E858F" w14:textId="77777777" w:rsidTr="00D733A4">
        <w:trPr>
          <w:trHeight w:val="440"/>
        </w:trPr>
        <w:tc>
          <w:tcPr>
            <w:tcW w:w="1252" w:type="dxa"/>
          </w:tcPr>
          <w:p w14:paraId="571AF225" w14:textId="77777777" w:rsidR="00795A99" w:rsidRPr="00961CBE" w:rsidRDefault="00795A99" w:rsidP="00556AD2">
            <w:pPr>
              <w:rPr>
                <w:rFonts w:ascii="Arial" w:hAnsi="Arial" w:cs="Arial"/>
                <w:sz w:val="24"/>
                <w:szCs w:val="24"/>
              </w:rPr>
            </w:pPr>
            <w:r>
              <w:rPr>
                <w:rFonts w:ascii="Arial" w:hAnsi="Arial" w:cs="Arial"/>
                <w:sz w:val="24"/>
                <w:szCs w:val="24"/>
              </w:rPr>
              <w:t>20-3</w:t>
            </w:r>
            <w:r w:rsidR="002A489C">
              <w:rPr>
                <w:rFonts w:ascii="Arial" w:hAnsi="Arial" w:cs="Arial"/>
                <w:sz w:val="24"/>
                <w:szCs w:val="24"/>
              </w:rPr>
              <w:t>6</w:t>
            </w:r>
          </w:p>
        </w:tc>
        <w:tc>
          <w:tcPr>
            <w:tcW w:w="3474" w:type="dxa"/>
          </w:tcPr>
          <w:p w14:paraId="3FC84876" w14:textId="77777777" w:rsidR="00795A99" w:rsidRPr="00961CBE" w:rsidRDefault="00583D42" w:rsidP="00556AD2">
            <w:pPr>
              <w:rPr>
                <w:rFonts w:ascii="Arial" w:hAnsi="Arial" w:cs="Arial"/>
                <w:sz w:val="24"/>
                <w:szCs w:val="24"/>
              </w:rPr>
            </w:pPr>
            <w:r w:rsidRPr="00583D42">
              <w:rPr>
                <w:rFonts w:ascii="Arial" w:hAnsi="Arial" w:cs="Arial"/>
                <w:sz w:val="24"/>
                <w:szCs w:val="24"/>
              </w:rPr>
              <w:t>FPDS Monthly Maintenance</w:t>
            </w:r>
          </w:p>
        </w:tc>
        <w:tc>
          <w:tcPr>
            <w:tcW w:w="1656" w:type="dxa"/>
          </w:tcPr>
          <w:p w14:paraId="0190BA9A" w14:textId="77777777" w:rsidR="00795A99" w:rsidRPr="00961CBE" w:rsidRDefault="00583D42" w:rsidP="00556AD2">
            <w:pPr>
              <w:rPr>
                <w:rFonts w:ascii="Arial" w:hAnsi="Arial" w:cs="Arial"/>
                <w:sz w:val="24"/>
                <w:szCs w:val="24"/>
              </w:rPr>
            </w:pPr>
            <w:r>
              <w:rPr>
                <w:rFonts w:ascii="Arial" w:hAnsi="Arial" w:cs="Arial"/>
                <w:sz w:val="24"/>
                <w:szCs w:val="24"/>
              </w:rPr>
              <w:t>4/17/2020</w:t>
            </w:r>
          </w:p>
        </w:tc>
        <w:tc>
          <w:tcPr>
            <w:tcW w:w="4140" w:type="dxa"/>
          </w:tcPr>
          <w:p w14:paraId="2853505B" w14:textId="77777777" w:rsidR="00795A99" w:rsidRPr="00961CBE" w:rsidRDefault="00583D42" w:rsidP="00556AD2">
            <w:pPr>
              <w:rPr>
                <w:rFonts w:ascii="Arial" w:hAnsi="Arial" w:cs="Arial"/>
                <w:sz w:val="24"/>
                <w:szCs w:val="24"/>
              </w:rPr>
            </w:pPr>
            <w:r w:rsidRPr="00583D42">
              <w:rPr>
                <w:rFonts w:ascii="Arial" w:hAnsi="Arial" w:cs="Arial"/>
                <w:sz w:val="24"/>
                <w:szCs w:val="24"/>
              </w:rPr>
              <w:t>FPDS Monthly Maintenance</w:t>
            </w:r>
          </w:p>
        </w:tc>
      </w:tr>
      <w:tr w:rsidR="00583D42" w:rsidRPr="00961CBE" w14:paraId="5D800930" w14:textId="77777777" w:rsidTr="00D733A4">
        <w:trPr>
          <w:trHeight w:val="440"/>
        </w:trPr>
        <w:tc>
          <w:tcPr>
            <w:tcW w:w="1252" w:type="dxa"/>
          </w:tcPr>
          <w:p w14:paraId="3C967D67" w14:textId="77777777" w:rsidR="00576399" w:rsidRDefault="00583D42" w:rsidP="00556AD2">
            <w:pPr>
              <w:rPr>
                <w:rFonts w:ascii="Arial" w:hAnsi="Arial" w:cs="Arial"/>
                <w:sz w:val="24"/>
                <w:szCs w:val="24"/>
              </w:rPr>
            </w:pPr>
            <w:r>
              <w:rPr>
                <w:rFonts w:ascii="Arial" w:hAnsi="Arial" w:cs="Arial"/>
                <w:sz w:val="24"/>
                <w:szCs w:val="24"/>
              </w:rPr>
              <w:t>20-37</w:t>
            </w:r>
          </w:p>
        </w:tc>
        <w:tc>
          <w:tcPr>
            <w:tcW w:w="3474" w:type="dxa"/>
          </w:tcPr>
          <w:p w14:paraId="7455AE52" w14:textId="77777777" w:rsidR="00576399" w:rsidRPr="00961CBE" w:rsidRDefault="00583D42" w:rsidP="00556AD2">
            <w:pPr>
              <w:rPr>
                <w:rFonts w:ascii="Arial" w:hAnsi="Arial" w:cs="Arial"/>
                <w:sz w:val="24"/>
                <w:szCs w:val="24"/>
              </w:rPr>
            </w:pPr>
            <w:r w:rsidRPr="00583D42">
              <w:rPr>
                <w:rFonts w:ascii="Arial" w:hAnsi="Arial" w:cs="Arial"/>
                <w:sz w:val="24"/>
                <w:szCs w:val="24"/>
              </w:rPr>
              <w:t>Resolving FY 2015 Canceling Year Lines</w:t>
            </w:r>
          </w:p>
        </w:tc>
        <w:tc>
          <w:tcPr>
            <w:tcW w:w="1656" w:type="dxa"/>
          </w:tcPr>
          <w:p w14:paraId="160D767A" w14:textId="77777777" w:rsidR="00576399" w:rsidRPr="00961CBE" w:rsidRDefault="00583D42" w:rsidP="00556AD2">
            <w:pPr>
              <w:rPr>
                <w:rFonts w:ascii="Arial" w:hAnsi="Arial" w:cs="Arial"/>
                <w:sz w:val="24"/>
                <w:szCs w:val="24"/>
              </w:rPr>
            </w:pPr>
            <w:r>
              <w:rPr>
                <w:rFonts w:ascii="Arial" w:hAnsi="Arial" w:cs="Arial"/>
                <w:sz w:val="24"/>
                <w:szCs w:val="24"/>
              </w:rPr>
              <w:t>4/20/2020</w:t>
            </w:r>
          </w:p>
        </w:tc>
        <w:tc>
          <w:tcPr>
            <w:tcW w:w="4140" w:type="dxa"/>
          </w:tcPr>
          <w:p w14:paraId="1D86F55F" w14:textId="77777777" w:rsidR="00576399" w:rsidRPr="00961CBE" w:rsidRDefault="00583D42" w:rsidP="00556AD2">
            <w:pPr>
              <w:rPr>
                <w:rFonts w:ascii="Arial" w:hAnsi="Arial" w:cs="Arial"/>
                <w:sz w:val="24"/>
                <w:szCs w:val="24"/>
              </w:rPr>
            </w:pPr>
            <w:r w:rsidRPr="00583D42">
              <w:rPr>
                <w:rFonts w:ascii="Arial" w:hAnsi="Arial" w:cs="Arial"/>
                <w:sz w:val="24"/>
                <w:szCs w:val="24"/>
              </w:rPr>
              <w:t>Certain appropriations are available for obligation for a specific period, i.e., annual and multi-year appropriations. NIH’s approach is to have these lines resolved by July 31, 2020</w:t>
            </w:r>
          </w:p>
        </w:tc>
      </w:tr>
      <w:tr w:rsidR="00583D42" w:rsidRPr="00961CBE" w14:paraId="43C44602" w14:textId="77777777" w:rsidTr="00D733A4">
        <w:trPr>
          <w:trHeight w:val="440"/>
        </w:trPr>
        <w:tc>
          <w:tcPr>
            <w:tcW w:w="1252" w:type="dxa"/>
          </w:tcPr>
          <w:p w14:paraId="13ED61D0" w14:textId="77777777" w:rsidR="00576399" w:rsidRDefault="00583D42" w:rsidP="00556AD2">
            <w:pPr>
              <w:rPr>
                <w:rFonts w:ascii="Arial" w:hAnsi="Arial" w:cs="Arial"/>
                <w:sz w:val="24"/>
                <w:szCs w:val="24"/>
              </w:rPr>
            </w:pPr>
            <w:r>
              <w:rPr>
                <w:rFonts w:ascii="Arial" w:hAnsi="Arial" w:cs="Arial"/>
                <w:sz w:val="24"/>
                <w:szCs w:val="24"/>
              </w:rPr>
              <w:t>20-38</w:t>
            </w:r>
          </w:p>
        </w:tc>
        <w:tc>
          <w:tcPr>
            <w:tcW w:w="3474" w:type="dxa"/>
          </w:tcPr>
          <w:p w14:paraId="14CE2735" w14:textId="77777777" w:rsidR="00576399" w:rsidRPr="00961CBE" w:rsidRDefault="00583D42" w:rsidP="00556AD2">
            <w:pPr>
              <w:rPr>
                <w:rFonts w:ascii="Arial" w:hAnsi="Arial" w:cs="Arial"/>
                <w:sz w:val="24"/>
                <w:szCs w:val="24"/>
              </w:rPr>
            </w:pPr>
            <w:r w:rsidRPr="00583D42">
              <w:rPr>
                <w:rFonts w:ascii="Arial" w:hAnsi="Arial" w:cs="Arial"/>
                <w:sz w:val="24"/>
                <w:szCs w:val="24"/>
              </w:rPr>
              <w:t>Procurement of Accountable Property Assets</w:t>
            </w:r>
          </w:p>
        </w:tc>
        <w:tc>
          <w:tcPr>
            <w:tcW w:w="1656" w:type="dxa"/>
          </w:tcPr>
          <w:p w14:paraId="43C2CA09" w14:textId="77777777" w:rsidR="00576399" w:rsidRPr="00961CBE" w:rsidRDefault="00583D42" w:rsidP="00556AD2">
            <w:pPr>
              <w:rPr>
                <w:rFonts w:ascii="Arial" w:hAnsi="Arial" w:cs="Arial"/>
                <w:sz w:val="24"/>
                <w:szCs w:val="24"/>
              </w:rPr>
            </w:pPr>
            <w:r>
              <w:rPr>
                <w:rFonts w:ascii="Arial" w:hAnsi="Arial" w:cs="Arial"/>
                <w:sz w:val="24"/>
                <w:szCs w:val="24"/>
              </w:rPr>
              <w:t>4/22/2020</w:t>
            </w:r>
          </w:p>
        </w:tc>
        <w:tc>
          <w:tcPr>
            <w:tcW w:w="4140" w:type="dxa"/>
          </w:tcPr>
          <w:p w14:paraId="22CD9470" w14:textId="77777777" w:rsidR="00576399" w:rsidRPr="00961CBE" w:rsidRDefault="00583D42" w:rsidP="00556AD2">
            <w:pPr>
              <w:rPr>
                <w:rFonts w:ascii="Arial" w:hAnsi="Arial" w:cs="Arial"/>
                <w:sz w:val="24"/>
                <w:szCs w:val="24"/>
              </w:rPr>
            </w:pPr>
            <w:r w:rsidRPr="00583D42">
              <w:rPr>
                <w:rFonts w:ascii="Arial" w:hAnsi="Arial" w:cs="Arial"/>
                <w:sz w:val="24"/>
                <w:szCs w:val="24"/>
              </w:rPr>
              <w:t xml:space="preserve">This Acquisition Guidance is being issued to address the proper identification, decaling, and tracking of accountable property assets  </w:t>
            </w:r>
          </w:p>
        </w:tc>
      </w:tr>
      <w:tr w:rsidR="00583D42" w:rsidRPr="00961CBE" w14:paraId="0EDE9698" w14:textId="77777777" w:rsidTr="00D733A4">
        <w:trPr>
          <w:trHeight w:val="440"/>
        </w:trPr>
        <w:tc>
          <w:tcPr>
            <w:tcW w:w="1252" w:type="dxa"/>
          </w:tcPr>
          <w:p w14:paraId="5BBE92D7" w14:textId="77777777" w:rsidR="00583D42" w:rsidRDefault="00C1069A" w:rsidP="00556AD2">
            <w:pPr>
              <w:rPr>
                <w:rFonts w:ascii="Arial" w:hAnsi="Arial" w:cs="Arial"/>
                <w:sz w:val="24"/>
                <w:szCs w:val="24"/>
              </w:rPr>
            </w:pPr>
            <w:r>
              <w:rPr>
                <w:rFonts w:ascii="Arial" w:hAnsi="Arial" w:cs="Arial"/>
                <w:sz w:val="24"/>
                <w:szCs w:val="24"/>
              </w:rPr>
              <w:t>20-39</w:t>
            </w:r>
          </w:p>
        </w:tc>
        <w:tc>
          <w:tcPr>
            <w:tcW w:w="3474" w:type="dxa"/>
          </w:tcPr>
          <w:p w14:paraId="39143353" w14:textId="77777777" w:rsidR="00583D42" w:rsidRPr="00961CBE" w:rsidRDefault="00583D42" w:rsidP="00556AD2">
            <w:pPr>
              <w:rPr>
                <w:rFonts w:ascii="Arial" w:hAnsi="Arial" w:cs="Arial"/>
                <w:sz w:val="24"/>
                <w:szCs w:val="24"/>
              </w:rPr>
            </w:pPr>
            <w:r w:rsidRPr="00583D42">
              <w:rPr>
                <w:rFonts w:ascii="Arial" w:hAnsi="Arial" w:cs="Arial"/>
                <w:sz w:val="24"/>
                <w:szCs w:val="24"/>
              </w:rPr>
              <w:t>Beware of Fake SAM.gov Website</w:t>
            </w:r>
          </w:p>
        </w:tc>
        <w:tc>
          <w:tcPr>
            <w:tcW w:w="1656" w:type="dxa"/>
          </w:tcPr>
          <w:p w14:paraId="5701BC3C" w14:textId="77777777" w:rsidR="00583D42" w:rsidRPr="00961CBE" w:rsidRDefault="00583D42" w:rsidP="00556AD2">
            <w:pPr>
              <w:rPr>
                <w:rFonts w:ascii="Arial" w:hAnsi="Arial" w:cs="Arial"/>
                <w:sz w:val="24"/>
                <w:szCs w:val="24"/>
              </w:rPr>
            </w:pPr>
            <w:r>
              <w:rPr>
                <w:rFonts w:ascii="Arial" w:hAnsi="Arial" w:cs="Arial"/>
                <w:sz w:val="24"/>
                <w:szCs w:val="24"/>
              </w:rPr>
              <w:t>4/23/2020</w:t>
            </w:r>
          </w:p>
        </w:tc>
        <w:tc>
          <w:tcPr>
            <w:tcW w:w="4140" w:type="dxa"/>
          </w:tcPr>
          <w:p w14:paraId="789F35C4" w14:textId="77777777" w:rsidR="00583D42" w:rsidRPr="00961CBE" w:rsidRDefault="00C1069A" w:rsidP="00556AD2">
            <w:pPr>
              <w:rPr>
                <w:rFonts w:ascii="Arial" w:hAnsi="Arial" w:cs="Arial"/>
                <w:sz w:val="24"/>
                <w:szCs w:val="24"/>
              </w:rPr>
            </w:pPr>
            <w:r w:rsidRPr="00C1069A">
              <w:rPr>
                <w:rFonts w:ascii="Arial" w:hAnsi="Arial" w:cs="Arial"/>
                <w:sz w:val="24"/>
                <w:szCs w:val="24"/>
              </w:rPr>
              <w:t xml:space="preserve">GSA was notified of a fraudulent website which is using the look/feel of the real SAM.gov and the look/feel of the real Login.gov sign-page.  DO NOT LOGIN!  </w:t>
            </w:r>
          </w:p>
        </w:tc>
      </w:tr>
      <w:tr w:rsidR="00583D42" w:rsidRPr="00961CBE" w14:paraId="019E988C" w14:textId="77777777" w:rsidTr="00D733A4">
        <w:trPr>
          <w:trHeight w:val="440"/>
        </w:trPr>
        <w:tc>
          <w:tcPr>
            <w:tcW w:w="1252" w:type="dxa"/>
          </w:tcPr>
          <w:p w14:paraId="0C43F866" w14:textId="77777777" w:rsidR="00583D42" w:rsidRDefault="00C1069A" w:rsidP="00556AD2">
            <w:pPr>
              <w:rPr>
                <w:rFonts w:ascii="Arial" w:hAnsi="Arial" w:cs="Arial"/>
                <w:sz w:val="24"/>
                <w:szCs w:val="24"/>
              </w:rPr>
            </w:pPr>
            <w:r>
              <w:rPr>
                <w:rFonts w:ascii="Arial" w:hAnsi="Arial" w:cs="Arial"/>
                <w:sz w:val="24"/>
                <w:szCs w:val="24"/>
              </w:rPr>
              <w:t>20-40</w:t>
            </w:r>
          </w:p>
        </w:tc>
        <w:tc>
          <w:tcPr>
            <w:tcW w:w="3474" w:type="dxa"/>
          </w:tcPr>
          <w:p w14:paraId="269D16DB" w14:textId="77777777" w:rsidR="00583D42" w:rsidRPr="00961CBE" w:rsidRDefault="00C1069A" w:rsidP="00556AD2">
            <w:pPr>
              <w:rPr>
                <w:rFonts w:ascii="Arial" w:hAnsi="Arial" w:cs="Arial"/>
                <w:sz w:val="24"/>
                <w:szCs w:val="24"/>
              </w:rPr>
            </w:pPr>
            <w:r w:rsidRPr="00C1069A">
              <w:rPr>
                <w:rFonts w:ascii="Arial" w:hAnsi="Arial" w:cs="Arial"/>
                <w:sz w:val="24"/>
                <w:szCs w:val="24"/>
              </w:rPr>
              <w:t>Resolving FY 2015 Canceling Year Lines</w:t>
            </w:r>
          </w:p>
        </w:tc>
        <w:tc>
          <w:tcPr>
            <w:tcW w:w="1656" w:type="dxa"/>
          </w:tcPr>
          <w:p w14:paraId="73829311" w14:textId="77777777" w:rsidR="00583D42" w:rsidRPr="00961CBE" w:rsidRDefault="00C1069A" w:rsidP="00556AD2">
            <w:pPr>
              <w:rPr>
                <w:rFonts w:ascii="Arial" w:hAnsi="Arial" w:cs="Arial"/>
                <w:sz w:val="24"/>
                <w:szCs w:val="24"/>
              </w:rPr>
            </w:pPr>
            <w:r>
              <w:rPr>
                <w:rFonts w:ascii="Arial" w:hAnsi="Arial" w:cs="Arial"/>
                <w:sz w:val="24"/>
                <w:szCs w:val="24"/>
              </w:rPr>
              <w:t>4/27/2020</w:t>
            </w:r>
          </w:p>
        </w:tc>
        <w:tc>
          <w:tcPr>
            <w:tcW w:w="4140" w:type="dxa"/>
          </w:tcPr>
          <w:p w14:paraId="7350E643" w14:textId="77777777" w:rsidR="00583D42" w:rsidRPr="00961CBE" w:rsidRDefault="00C1069A" w:rsidP="00556AD2">
            <w:pPr>
              <w:rPr>
                <w:rFonts w:ascii="Arial" w:hAnsi="Arial" w:cs="Arial"/>
                <w:sz w:val="24"/>
                <w:szCs w:val="24"/>
              </w:rPr>
            </w:pPr>
            <w:r w:rsidRPr="00C1069A">
              <w:rPr>
                <w:rFonts w:ascii="Arial" w:hAnsi="Arial" w:cs="Arial"/>
                <w:sz w:val="24"/>
                <w:szCs w:val="24"/>
              </w:rPr>
              <w:t>Certain appropriations are available for obligation for a specific period, i.e., annual and multi-year appropriations. NIH’s approach is to have these lines resolved by July 31, 2020</w:t>
            </w:r>
          </w:p>
        </w:tc>
      </w:tr>
      <w:tr w:rsidR="00C1069A" w:rsidRPr="00961CBE" w14:paraId="3D656267" w14:textId="77777777" w:rsidTr="00D733A4">
        <w:trPr>
          <w:trHeight w:val="440"/>
        </w:trPr>
        <w:tc>
          <w:tcPr>
            <w:tcW w:w="1252" w:type="dxa"/>
          </w:tcPr>
          <w:p w14:paraId="3C4EDE3E" w14:textId="77777777" w:rsidR="00C1069A" w:rsidRDefault="00C1069A" w:rsidP="00556AD2">
            <w:pPr>
              <w:rPr>
                <w:rFonts w:ascii="Arial" w:hAnsi="Arial" w:cs="Arial"/>
                <w:sz w:val="24"/>
                <w:szCs w:val="24"/>
              </w:rPr>
            </w:pPr>
            <w:r>
              <w:rPr>
                <w:rFonts w:ascii="Arial" w:hAnsi="Arial" w:cs="Arial"/>
                <w:sz w:val="24"/>
                <w:szCs w:val="24"/>
              </w:rPr>
              <w:t>20-41</w:t>
            </w:r>
          </w:p>
        </w:tc>
        <w:tc>
          <w:tcPr>
            <w:tcW w:w="3474" w:type="dxa"/>
          </w:tcPr>
          <w:p w14:paraId="38B0D0E2" w14:textId="77777777" w:rsidR="00C1069A" w:rsidRPr="00961CBE" w:rsidRDefault="00C1069A" w:rsidP="00556AD2">
            <w:pPr>
              <w:rPr>
                <w:rFonts w:ascii="Arial" w:hAnsi="Arial" w:cs="Arial"/>
                <w:sz w:val="24"/>
                <w:szCs w:val="24"/>
              </w:rPr>
            </w:pPr>
            <w:r w:rsidRPr="00C1069A">
              <w:rPr>
                <w:rFonts w:ascii="Arial" w:hAnsi="Arial" w:cs="Arial"/>
                <w:sz w:val="24"/>
                <w:szCs w:val="24"/>
              </w:rPr>
              <w:t>Resolving FY 2015 Canceling Year Lines</w:t>
            </w:r>
          </w:p>
        </w:tc>
        <w:tc>
          <w:tcPr>
            <w:tcW w:w="1656" w:type="dxa"/>
          </w:tcPr>
          <w:p w14:paraId="724A43AB" w14:textId="77777777" w:rsidR="00C1069A" w:rsidRPr="00961CBE" w:rsidRDefault="00C1069A" w:rsidP="00556AD2">
            <w:pPr>
              <w:rPr>
                <w:rFonts w:ascii="Arial" w:hAnsi="Arial" w:cs="Arial"/>
                <w:sz w:val="24"/>
                <w:szCs w:val="24"/>
              </w:rPr>
            </w:pPr>
            <w:r>
              <w:rPr>
                <w:rFonts w:ascii="Arial" w:hAnsi="Arial" w:cs="Arial"/>
                <w:sz w:val="24"/>
                <w:szCs w:val="24"/>
              </w:rPr>
              <w:t>5/04/2020</w:t>
            </w:r>
          </w:p>
        </w:tc>
        <w:tc>
          <w:tcPr>
            <w:tcW w:w="4140" w:type="dxa"/>
          </w:tcPr>
          <w:p w14:paraId="2612E199" w14:textId="77777777" w:rsidR="00C1069A" w:rsidRPr="00961CBE" w:rsidRDefault="00C1069A" w:rsidP="00556AD2">
            <w:pPr>
              <w:rPr>
                <w:rFonts w:ascii="Arial" w:hAnsi="Arial" w:cs="Arial"/>
                <w:sz w:val="24"/>
                <w:szCs w:val="24"/>
              </w:rPr>
            </w:pPr>
            <w:r w:rsidRPr="00C1069A">
              <w:rPr>
                <w:rFonts w:ascii="Arial" w:hAnsi="Arial" w:cs="Arial"/>
                <w:sz w:val="24"/>
                <w:szCs w:val="24"/>
              </w:rPr>
              <w:t>Certain appropriations are available for obligation for a specific period, i.e., annual and multi-year appropriations. NIH’s approach is to have these lines resolved by July 31, 2020</w:t>
            </w:r>
          </w:p>
        </w:tc>
      </w:tr>
      <w:tr w:rsidR="00D733A4" w:rsidRPr="00961CBE" w14:paraId="37EA9F5B" w14:textId="77777777" w:rsidTr="00D733A4">
        <w:trPr>
          <w:trHeight w:val="440"/>
        </w:trPr>
        <w:tc>
          <w:tcPr>
            <w:tcW w:w="1252" w:type="dxa"/>
          </w:tcPr>
          <w:p w14:paraId="757CEF9E" w14:textId="77777777" w:rsidR="00D733A4" w:rsidRDefault="00D733A4" w:rsidP="00556AD2">
            <w:pPr>
              <w:rPr>
                <w:rFonts w:ascii="Arial" w:hAnsi="Arial" w:cs="Arial"/>
                <w:sz w:val="24"/>
                <w:szCs w:val="24"/>
              </w:rPr>
            </w:pPr>
            <w:r>
              <w:rPr>
                <w:rFonts w:ascii="Arial" w:hAnsi="Arial" w:cs="Arial"/>
                <w:sz w:val="24"/>
                <w:szCs w:val="24"/>
              </w:rPr>
              <w:t>20-42</w:t>
            </w:r>
          </w:p>
        </w:tc>
        <w:tc>
          <w:tcPr>
            <w:tcW w:w="3474" w:type="dxa"/>
          </w:tcPr>
          <w:p w14:paraId="5501774F" w14:textId="77777777" w:rsidR="00D733A4" w:rsidRPr="00C1069A" w:rsidRDefault="00D733A4" w:rsidP="00556AD2">
            <w:pPr>
              <w:rPr>
                <w:rFonts w:ascii="Arial" w:hAnsi="Arial" w:cs="Arial"/>
                <w:sz w:val="24"/>
                <w:szCs w:val="24"/>
              </w:rPr>
            </w:pPr>
            <w:r w:rsidRPr="00D733A4">
              <w:rPr>
                <w:rFonts w:ascii="Arial" w:hAnsi="Arial" w:cs="Arial"/>
                <w:sz w:val="24"/>
                <w:szCs w:val="24"/>
              </w:rPr>
              <w:t>Resolving FY 2015 Canceling Year Lines</w:t>
            </w:r>
          </w:p>
        </w:tc>
        <w:tc>
          <w:tcPr>
            <w:tcW w:w="1656" w:type="dxa"/>
          </w:tcPr>
          <w:p w14:paraId="344AF5BB" w14:textId="77777777" w:rsidR="00D733A4" w:rsidRDefault="00D733A4" w:rsidP="00556AD2">
            <w:pPr>
              <w:rPr>
                <w:rFonts w:ascii="Arial" w:hAnsi="Arial" w:cs="Arial"/>
                <w:sz w:val="24"/>
                <w:szCs w:val="24"/>
              </w:rPr>
            </w:pPr>
            <w:r>
              <w:rPr>
                <w:rFonts w:ascii="Arial" w:hAnsi="Arial" w:cs="Arial"/>
                <w:sz w:val="24"/>
                <w:szCs w:val="24"/>
              </w:rPr>
              <w:t>5/11/2020</w:t>
            </w:r>
          </w:p>
        </w:tc>
        <w:tc>
          <w:tcPr>
            <w:tcW w:w="4140" w:type="dxa"/>
          </w:tcPr>
          <w:p w14:paraId="3AC1CD38" w14:textId="77777777" w:rsidR="00D733A4" w:rsidRPr="00C1069A" w:rsidRDefault="00D733A4" w:rsidP="00556AD2">
            <w:pPr>
              <w:rPr>
                <w:rFonts w:ascii="Arial" w:hAnsi="Arial" w:cs="Arial"/>
                <w:sz w:val="24"/>
                <w:szCs w:val="24"/>
              </w:rPr>
            </w:pPr>
            <w:r w:rsidRPr="00D733A4">
              <w:rPr>
                <w:rFonts w:ascii="Arial" w:hAnsi="Arial" w:cs="Arial"/>
                <w:sz w:val="24"/>
                <w:szCs w:val="24"/>
              </w:rPr>
              <w:t>Certain appropriations are available for obligation for a specific period, i.e., annual and multi-year appropriations. NIH’s approach is to have these lines resolved by July 31, 2020</w:t>
            </w:r>
          </w:p>
        </w:tc>
      </w:tr>
    </w:tbl>
    <w:p w14:paraId="3EF040DF" w14:textId="77777777" w:rsidR="00285777" w:rsidRPr="00D733A4" w:rsidRDefault="00285777" w:rsidP="00556AD2">
      <w:pPr>
        <w:spacing w:line="240" w:lineRule="auto"/>
        <w:rPr>
          <w:b/>
          <w:bCs/>
          <w:sz w:val="36"/>
          <w:szCs w:val="36"/>
        </w:rPr>
      </w:pPr>
    </w:p>
    <w:p w14:paraId="21F58A8C" w14:textId="77777777" w:rsidR="00154EFA" w:rsidRPr="00285777" w:rsidRDefault="00154EFA" w:rsidP="00556AD2">
      <w:pPr>
        <w:spacing w:line="240" w:lineRule="auto"/>
        <w:jc w:val="both"/>
        <w:rPr>
          <w:sz w:val="32"/>
          <w:szCs w:val="32"/>
        </w:rPr>
      </w:pPr>
    </w:p>
    <w:p w14:paraId="63D0E709" w14:textId="77777777" w:rsidR="00A406AE" w:rsidRPr="00A406AE" w:rsidRDefault="00A406AE" w:rsidP="00556AD2">
      <w:pPr>
        <w:spacing w:after="120" w:line="240" w:lineRule="auto"/>
        <w:jc w:val="center"/>
        <w:outlineLvl w:val="0"/>
        <w:rPr>
          <w:rFonts w:ascii="Arial" w:eastAsia="Arial" w:hAnsi="Arial" w:cs="Arial"/>
          <w:b/>
          <w:bCs/>
          <w:spacing w:val="-5"/>
          <w:sz w:val="40"/>
          <w:szCs w:val="40"/>
        </w:rPr>
      </w:pPr>
      <w:r w:rsidRPr="00A406AE">
        <w:rPr>
          <w:rFonts w:ascii="Arial" w:eastAsia="Arial" w:hAnsi="Arial" w:cs="Arial"/>
          <w:b/>
          <w:bCs/>
          <w:spacing w:val="-5"/>
          <w:sz w:val="40"/>
          <w:szCs w:val="40"/>
        </w:rPr>
        <w:t>Acquisition Training Information</w:t>
      </w:r>
    </w:p>
    <w:p w14:paraId="603C3DBA"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Acquisition Training at NIH</w:t>
      </w:r>
    </w:p>
    <w:p w14:paraId="0218F346" w14:textId="77777777" w:rsidR="00A406AE" w:rsidRPr="00A406AE" w:rsidRDefault="00A406AE" w:rsidP="00556AD2">
      <w:pPr>
        <w:spacing w:after="120" w:line="240" w:lineRule="auto"/>
        <w:rPr>
          <w:rFonts w:ascii="Arial" w:eastAsia="Calibri" w:hAnsi="Arial" w:cs="Arial"/>
          <w:color w:val="0000FF"/>
          <w:spacing w:val="-1"/>
          <w:sz w:val="24"/>
          <w:szCs w:val="24"/>
          <w:u w:val="single" w:color="0000FF"/>
        </w:rPr>
      </w:pPr>
      <w:r w:rsidRPr="00A406AE">
        <w:rPr>
          <w:rFonts w:ascii="Arial" w:eastAsia="Calibri" w:hAnsi="Arial" w:cs="Arial"/>
          <w:spacing w:val="1"/>
          <w:sz w:val="24"/>
          <w:szCs w:val="24"/>
        </w:rPr>
        <w:t>A</w:t>
      </w:r>
      <w:r w:rsidRPr="00A406AE">
        <w:rPr>
          <w:rFonts w:ascii="Arial" w:eastAsia="Calibri" w:hAnsi="Arial" w:cs="Arial"/>
          <w:sz w:val="24"/>
          <w:szCs w:val="24"/>
        </w:rPr>
        <w:t>c</w:t>
      </w:r>
      <w:r w:rsidRPr="00A406AE">
        <w:rPr>
          <w:rFonts w:ascii="Arial" w:eastAsia="Calibri" w:hAnsi="Arial" w:cs="Arial"/>
          <w:spacing w:val="-1"/>
          <w:sz w:val="24"/>
          <w:szCs w:val="24"/>
        </w:rPr>
        <w:t>q</w:t>
      </w:r>
      <w:r w:rsidRPr="00A406AE">
        <w:rPr>
          <w:rFonts w:ascii="Arial" w:eastAsia="Calibri" w:hAnsi="Arial" w:cs="Arial"/>
          <w:spacing w:val="1"/>
          <w:sz w:val="24"/>
          <w:szCs w:val="24"/>
        </w:rPr>
        <w:t>u</w:t>
      </w:r>
      <w:r w:rsidRPr="00A406AE">
        <w:rPr>
          <w:rFonts w:ascii="Arial" w:eastAsia="Calibri" w:hAnsi="Arial" w:cs="Arial"/>
          <w:spacing w:val="-1"/>
          <w:sz w:val="24"/>
          <w:szCs w:val="24"/>
        </w:rPr>
        <w:t>i</w:t>
      </w:r>
      <w:r w:rsidRPr="00A406AE">
        <w:rPr>
          <w:rFonts w:ascii="Arial" w:eastAsia="Calibri" w:hAnsi="Arial" w:cs="Arial"/>
          <w:sz w:val="24"/>
          <w:szCs w:val="24"/>
        </w:rPr>
        <w:t>s</w:t>
      </w:r>
      <w:r w:rsidRPr="00A406AE">
        <w:rPr>
          <w:rFonts w:ascii="Arial" w:eastAsia="Calibri" w:hAnsi="Arial" w:cs="Arial"/>
          <w:spacing w:val="-1"/>
          <w:sz w:val="24"/>
          <w:szCs w:val="24"/>
        </w:rPr>
        <w:t>i</w:t>
      </w:r>
      <w:r w:rsidRPr="00A406AE">
        <w:rPr>
          <w:rFonts w:ascii="Arial" w:eastAsia="Calibri" w:hAnsi="Arial" w:cs="Arial"/>
          <w:spacing w:val="1"/>
          <w:sz w:val="24"/>
          <w:szCs w:val="24"/>
        </w:rPr>
        <w:t>t</w:t>
      </w:r>
      <w:r w:rsidRPr="00A406AE">
        <w:rPr>
          <w:rFonts w:ascii="Arial" w:eastAsia="Calibri" w:hAnsi="Arial" w:cs="Arial"/>
          <w:spacing w:val="-1"/>
          <w:sz w:val="24"/>
          <w:szCs w:val="24"/>
        </w:rPr>
        <w:t>i</w:t>
      </w:r>
      <w:r w:rsidRPr="00A406AE">
        <w:rPr>
          <w:rFonts w:ascii="Arial" w:eastAsia="Calibri" w:hAnsi="Arial" w:cs="Arial"/>
          <w:spacing w:val="1"/>
          <w:sz w:val="24"/>
          <w:szCs w:val="24"/>
        </w:rPr>
        <w:t>o</w:t>
      </w:r>
      <w:r w:rsidRPr="00A406AE">
        <w:rPr>
          <w:rFonts w:ascii="Arial" w:eastAsia="Calibri" w:hAnsi="Arial" w:cs="Arial"/>
          <w:sz w:val="24"/>
          <w:szCs w:val="24"/>
        </w:rPr>
        <w:t>n</w:t>
      </w:r>
      <w:r w:rsidRPr="00A406AE">
        <w:rPr>
          <w:rFonts w:ascii="Arial" w:eastAsia="Calibri" w:hAnsi="Arial" w:cs="Arial"/>
          <w:spacing w:val="2"/>
          <w:sz w:val="24"/>
          <w:szCs w:val="24"/>
        </w:rPr>
        <w:t xml:space="preserve"> t</w:t>
      </w:r>
      <w:r w:rsidRPr="00A406AE">
        <w:rPr>
          <w:rFonts w:ascii="Arial" w:eastAsia="Calibri" w:hAnsi="Arial" w:cs="Arial"/>
          <w:spacing w:val="-3"/>
          <w:sz w:val="24"/>
          <w:szCs w:val="24"/>
        </w:rPr>
        <w:t>r</w:t>
      </w:r>
      <w:r w:rsidRPr="00A406AE">
        <w:rPr>
          <w:rFonts w:ascii="Arial" w:eastAsia="Calibri" w:hAnsi="Arial" w:cs="Arial"/>
          <w:spacing w:val="1"/>
          <w:sz w:val="24"/>
          <w:szCs w:val="24"/>
        </w:rPr>
        <w:t>a</w:t>
      </w:r>
      <w:r w:rsidRPr="00A406AE">
        <w:rPr>
          <w:rFonts w:ascii="Arial" w:eastAsia="Calibri" w:hAnsi="Arial" w:cs="Arial"/>
          <w:spacing w:val="-1"/>
          <w:sz w:val="24"/>
          <w:szCs w:val="24"/>
        </w:rPr>
        <w:t>i</w:t>
      </w:r>
      <w:r w:rsidRPr="00A406AE">
        <w:rPr>
          <w:rFonts w:ascii="Arial" w:eastAsia="Calibri" w:hAnsi="Arial" w:cs="Arial"/>
          <w:spacing w:val="1"/>
          <w:sz w:val="24"/>
          <w:szCs w:val="24"/>
        </w:rPr>
        <w:t>n</w:t>
      </w:r>
      <w:r w:rsidRPr="00A406AE">
        <w:rPr>
          <w:rFonts w:ascii="Arial" w:eastAsia="Calibri" w:hAnsi="Arial" w:cs="Arial"/>
          <w:spacing w:val="-1"/>
          <w:sz w:val="24"/>
          <w:szCs w:val="24"/>
        </w:rPr>
        <w:t>i</w:t>
      </w:r>
      <w:r w:rsidRPr="00A406AE">
        <w:rPr>
          <w:rFonts w:ascii="Arial" w:eastAsia="Calibri" w:hAnsi="Arial" w:cs="Arial"/>
          <w:spacing w:val="1"/>
          <w:sz w:val="24"/>
          <w:szCs w:val="24"/>
        </w:rPr>
        <w:t>n</w:t>
      </w:r>
      <w:r w:rsidRPr="00A406AE">
        <w:rPr>
          <w:rFonts w:ascii="Arial" w:eastAsia="Calibri" w:hAnsi="Arial" w:cs="Arial"/>
          <w:sz w:val="24"/>
          <w:szCs w:val="24"/>
        </w:rPr>
        <w:t>g</w:t>
      </w:r>
      <w:r w:rsidRPr="00A406AE">
        <w:rPr>
          <w:rFonts w:ascii="Arial" w:eastAsia="Calibri" w:hAnsi="Arial" w:cs="Arial"/>
          <w:spacing w:val="-1"/>
          <w:sz w:val="24"/>
          <w:szCs w:val="24"/>
        </w:rPr>
        <w:t xml:space="preserve"> cl</w:t>
      </w:r>
      <w:r w:rsidRPr="00A406AE">
        <w:rPr>
          <w:rFonts w:ascii="Arial" w:eastAsia="Calibri" w:hAnsi="Arial" w:cs="Arial"/>
          <w:spacing w:val="1"/>
          <w:sz w:val="24"/>
          <w:szCs w:val="24"/>
        </w:rPr>
        <w:t>a</w:t>
      </w:r>
      <w:r w:rsidRPr="00A406AE">
        <w:rPr>
          <w:rFonts w:ascii="Arial" w:eastAsia="Calibri" w:hAnsi="Arial" w:cs="Arial"/>
          <w:sz w:val="24"/>
          <w:szCs w:val="24"/>
        </w:rPr>
        <w:t>ss</w:t>
      </w:r>
      <w:r w:rsidRPr="00A406AE">
        <w:rPr>
          <w:rFonts w:ascii="Arial" w:eastAsia="Calibri" w:hAnsi="Arial" w:cs="Arial"/>
          <w:spacing w:val="1"/>
          <w:sz w:val="24"/>
          <w:szCs w:val="24"/>
        </w:rPr>
        <w:t>e</w:t>
      </w:r>
      <w:r w:rsidRPr="00A406AE">
        <w:rPr>
          <w:rFonts w:ascii="Arial" w:eastAsia="Calibri" w:hAnsi="Arial" w:cs="Arial"/>
          <w:sz w:val="24"/>
          <w:szCs w:val="24"/>
        </w:rPr>
        <w:t>s</w:t>
      </w:r>
      <w:r w:rsidRPr="00A406AE">
        <w:rPr>
          <w:rFonts w:ascii="Arial" w:eastAsia="Calibri" w:hAnsi="Arial" w:cs="Arial"/>
          <w:spacing w:val="1"/>
          <w:sz w:val="24"/>
          <w:szCs w:val="24"/>
        </w:rPr>
        <w:t xml:space="preserve"> that are offered by the NIH Training Center </w:t>
      </w:r>
      <w:r w:rsidRPr="00A406AE">
        <w:rPr>
          <w:rFonts w:ascii="Arial" w:eastAsia="Calibri" w:hAnsi="Arial" w:cs="Arial"/>
          <w:sz w:val="24"/>
          <w:szCs w:val="24"/>
        </w:rPr>
        <w:t>can</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b</w:t>
      </w:r>
      <w:r w:rsidRPr="00A406AE">
        <w:rPr>
          <w:rFonts w:ascii="Arial" w:eastAsia="Calibri" w:hAnsi="Arial" w:cs="Arial"/>
          <w:sz w:val="24"/>
          <w:szCs w:val="24"/>
        </w:rPr>
        <w:t>e</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a</w:t>
      </w:r>
      <w:r w:rsidRPr="00A406AE">
        <w:rPr>
          <w:rFonts w:ascii="Arial" w:eastAsia="Calibri" w:hAnsi="Arial" w:cs="Arial"/>
          <w:sz w:val="24"/>
          <w:szCs w:val="24"/>
        </w:rPr>
        <w:t>c</w:t>
      </w:r>
      <w:r w:rsidRPr="00A406AE">
        <w:rPr>
          <w:rFonts w:ascii="Arial" w:eastAsia="Calibri" w:hAnsi="Arial" w:cs="Arial"/>
          <w:spacing w:val="-2"/>
          <w:sz w:val="24"/>
          <w:szCs w:val="24"/>
        </w:rPr>
        <w:t>c</w:t>
      </w:r>
      <w:r w:rsidRPr="00A406AE">
        <w:rPr>
          <w:rFonts w:ascii="Arial" w:eastAsia="Calibri" w:hAnsi="Arial" w:cs="Arial"/>
          <w:spacing w:val="1"/>
          <w:sz w:val="24"/>
          <w:szCs w:val="24"/>
        </w:rPr>
        <w:t>e</w:t>
      </w:r>
      <w:r w:rsidRPr="00A406AE">
        <w:rPr>
          <w:rFonts w:ascii="Arial" w:eastAsia="Calibri" w:hAnsi="Arial" w:cs="Arial"/>
          <w:sz w:val="24"/>
          <w:szCs w:val="24"/>
        </w:rPr>
        <w:t>ss</w:t>
      </w:r>
      <w:r w:rsidRPr="00A406AE">
        <w:rPr>
          <w:rFonts w:ascii="Arial" w:eastAsia="Calibri" w:hAnsi="Arial" w:cs="Arial"/>
          <w:spacing w:val="-1"/>
          <w:sz w:val="24"/>
          <w:szCs w:val="24"/>
        </w:rPr>
        <w:t>e</w:t>
      </w:r>
      <w:r w:rsidRPr="00A406AE">
        <w:rPr>
          <w:rFonts w:ascii="Arial" w:eastAsia="Calibri" w:hAnsi="Arial" w:cs="Arial"/>
          <w:sz w:val="24"/>
          <w:szCs w:val="24"/>
        </w:rPr>
        <w:t>d</w:t>
      </w:r>
      <w:r w:rsidRPr="00A406AE">
        <w:rPr>
          <w:rFonts w:ascii="Arial" w:eastAsia="Calibri" w:hAnsi="Arial" w:cs="Arial"/>
          <w:spacing w:val="2"/>
          <w:sz w:val="24"/>
          <w:szCs w:val="24"/>
        </w:rPr>
        <w:t xml:space="preserve"> </w:t>
      </w:r>
      <w:r w:rsidRPr="00A406AE">
        <w:rPr>
          <w:rFonts w:ascii="Arial" w:eastAsia="Calibri" w:hAnsi="Arial" w:cs="Arial"/>
          <w:spacing w:val="1"/>
          <w:sz w:val="24"/>
          <w:szCs w:val="24"/>
        </w:rPr>
        <w:t>a</w:t>
      </w:r>
      <w:r w:rsidRPr="00A406AE">
        <w:rPr>
          <w:rFonts w:ascii="Arial" w:eastAsia="Calibri" w:hAnsi="Arial" w:cs="Arial"/>
          <w:sz w:val="24"/>
          <w:szCs w:val="24"/>
        </w:rPr>
        <w:t>t</w:t>
      </w:r>
      <w:r w:rsidRPr="00A406AE">
        <w:rPr>
          <w:rFonts w:ascii="Arial" w:eastAsia="Calibri" w:hAnsi="Arial" w:cs="Arial"/>
          <w:spacing w:val="-1"/>
          <w:sz w:val="24"/>
          <w:szCs w:val="24"/>
        </w:rPr>
        <w:t xml:space="preserve"> </w:t>
      </w:r>
      <w:r w:rsidRPr="00A406AE">
        <w:rPr>
          <w:rFonts w:ascii="Arial" w:eastAsia="Calibri" w:hAnsi="Arial" w:cs="Arial"/>
          <w:spacing w:val="1"/>
          <w:sz w:val="24"/>
          <w:szCs w:val="24"/>
        </w:rPr>
        <w:t>th</w:t>
      </w:r>
      <w:r w:rsidRPr="00A406AE">
        <w:rPr>
          <w:rFonts w:ascii="Arial" w:eastAsia="Calibri" w:hAnsi="Arial" w:cs="Arial"/>
          <w:sz w:val="24"/>
          <w:szCs w:val="24"/>
        </w:rPr>
        <w:t>e</w:t>
      </w:r>
      <w:r w:rsidRPr="00A406AE">
        <w:rPr>
          <w:rFonts w:ascii="Arial" w:eastAsia="Calibri" w:hAnsi="Arial" w:cs="Arial"/>
          <w:spacing w:val="-3"/>
          <w:sz w:val="24"/>
          <w:szCs w:val="24"/>
        </w:rPr>
        <w:t xml:space="preserve"> </w:t>
      </w:r>
      <w:r w:rsidRPr="00A406AE">
        <w:rPr>
          <w:rFonts w:ascii="Arial" w:eastAsia="Calibri" w:hAnsi="Arial" w:cs="Arial"/>
          <w:spacing w:val="3"/>
          <w:sz w:val="24"/>
          <w:szCs w:val="24"/>
        </w:rPr>
        <w:t>f</w:t>
      </w:r>
      <w:r w:rsidRPr="00A406AE">
        <w:rPr>
          <w:rFonts w:ascii="Arial" w:eastAsia="Calibri" w:hAnsi="Arial" w:cs="Arial"/>
          <w:spacing w:val="1"/>
          <w:sz w:val="24"/>
          <w:szCs w:val="24"/>
        </w:rPr>
        <w:t>o</w:t>
      </w:r>
      <w:r w:rsidRPr="00A406AE">
        <w:rPr>
          <w:rFonts w:ascii="Arial" w:eastAsia="Calibri" w:hAnsi="Arial" w:cs="Arial"/>
          <w:spacing w:val="-1"/>
          <w:sz w:val="24"/>
          <w:szCs w:val="24"/>
        </w:rPr>
        <w:t>ll</w:t>
      </w:r>
      <w:r w:rsidRPr="00A406AE">
        <w:rPr>
          <w:rFonts w:ascii="Arial" w:eastAsia="Calibri" w:hAnsi="Arial" w:cs="Arial"/>
          <w:spacing w:val="1"/>
          <w:sz w:val="24"/>
          <w:szCs w:val="24"/>
        </w:rPr>
        <w:t>o</w:t>
      </w:r>
      <w:r w:rsidRPr="00A406AE">
        <w:rPr>
          <w:rFonts w:ascii="Arial" w:eastAsia="Calibri" w:hAnsi="Arial" w:cs="Arial"/>
          <w:spacing w:val="-3"/>
          <w:sz w:val="24"/>
          <w:szCs w:val="24"/>
        </w:rPr>
        <w:t>w</w:t>
      </w:r>
      <w:r w:rsidRPr="00A406AE">
        <w:rPr>
          <w:rFonts w:ascii="Arial" w:eastAsia="Calibri" w:hAnsi="Arial" w:cs="Arial"/>
          <w:spacing w:val="-1"/>
          <w:sz w:val="24"/>
          <w:szCs w:val="24"/>
        </w:rPr>
        <w:t>i</w:t>
      </w:r>
      <w:r w:rsidRPr="00A406AE">
        <w:rPr>
          <w:rFonts w:ascii="Arial" w:eastAsia="Calibri" w:hAnsi="Arial" w:cs="Arial"/>
          <w:spacing w:val="1"/>
          <w:sz w:val="24"/>
          <w:szCs w:val="24"/>
        </w:rPr>
        <w:t xml:space="preserve">ng </w:t>
      </w:r>
      <w:r w:rsidRPr="00A406AE">
        <w:rPr>
          <w:rFonts w:ascii="Arial" w:eastAsia="Calibri" w:hAnsi="Arial" w:cs="Arial"/>
          <w:sz w:val="24"/>
          <w:szCs w:val="24"/>
        </w:rPr>
        <w:t>li</w:t>
      </w:r>
      <w:r w:rsidRPr="00A406AE">
        <w:rPr>
          <w:rFonts w:ascii="Arial" w:eastAsia="Calibri" w:hAnsi="Arial" w:cs="Arial"/>
          <w:spacing w:val="1"/>
          <w:sz w:val="24"/>
          <w:szCs w:val="24"/>
        </w:rPr>
        <w:t>n</w:t>
      </w:r>
      <w:r w:rsidRPr="00A406AE">
        <w:rPr>
          <w:rFonts w:ascii="Arial" w:eastAsia="Calibri" w:hAnsi="Arial" w:cs="Arial"/>
          <w:sz w:val="24"/>
          <w:szCs w:val="24"/>
        </w:rPr>
        <w:t xml:space="preserve">k: </w:t>
      </w:r>
      <w:r w:rsidRPr="00A406AE">
        <w:rPr>
          <w:rFonts w:ascii="Arial" w:eastAsia="Calibri" w:hAnsi="Arial" w:cs="Arial"/>
          <w:color w:val="0000FF"/>
          <w:spacing w:val="-65"/>
          <w:sz w:val="24"/>
          <w:szCs w:val="24"/>
        </w:rPr>
        <w:t xml:space="preserve"> </w:t>
      </w:r>
      <w:hyperlink r:id="rId13" w:tooltip="Acquisitions Management Courses" w:history="1">
        <w:r w:rsidRPr="00A406AE">
          <w:rPr>
            <w:rFonts w:ascii="Arial" w:eastAsia="Calibri" w:hAnsi="Arial" w:cs="Arial"/>
            <w:color w:val="0563C1"/>
            <w:spacing w:val="-1"/>
            <w:sz w:val="24"/>
            <w:szCs w:val="24"/>
            <w:u w:val="single"/>
          </w:rPr>
          <w:t>Acquisitions Management Courses</w:t>
        </w:r>
      </w:hyperlink>
    </w:p>
    <w:p w14:paraId="12396AB9"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Federal Acquisition Certification Coursework</w:t>
      </w:r>
    </w:p>
    <w:p w14:paraId="3FBFE7B8" w14:textId="77777777" w:rsidR="00A406AE" w:rsidRPr="00A406AE" w:rsidRDefault="00A406AE" w:rsidP="00556AD2">
      <w:pPr>
        <w:spacing w:after="120" w:line="240" w:lineRule="auto"/>
        <w:rPr>
          <w:rFonts w:ascii="Arial" w:eastAsia="Calibri" w:hAnsi="Arial" w:cs="Arial"/>
          <w:sz w:val="24"/>
          <w:szCs w:val="24"/>
        </w:rPr>
      </w:pPr>
      <w:r w:rsidRPr="00A406AE">
        <w:rPr>
          <w:rFonts w:ascii="Arial" w:eastAsia="Calibri" w:hAnsi="Arial" w:cs="Arial"/>
          <w:sz w:val="24"/>
          <w:szCs w:val="24"/>
        </w:rPr>
        <w:t xml:space="preserve">CON courses and other Federal Acquisition Certification required courses can be found at the </w:t>
      </w:r>
      <w:hyperlink r:id="rId14" w:tooltip="NIH Training Center" w:history="1">
        <w:r w:rsidRPr="00A406AE">
          <w:rPr>
            <w:rFonts w:ascii="Arial" w:eastAsia="Calibri" w:hAnsi="Arial" w:cs="Arial"/>
            <w:color w:val="0563C1"/>
            <w:sz w:val="24"/>
            <w:szCs w:val="24"/>
            <w:u w:val="single"/>
          </w:rPr>
          <w:t>NIH Training Center</w:t>
        </w:r>
      </w:hyperlink>
      <w:r w:rsidRPr="00A406AE">
        <w:rPr>
          <w:rFonts w:ascii="Arial" w:eastAsia="Calibri" w:hAnsi="Arial" w:cs="Arial"/>
          <w:sz w:val="24"/>
          <w:szCs w:val="24"/>
        </w:rPr>
        <w:t xml:space="preserve">, </w:t>
      </w:r>
      <w:hyperlink r:id="rId15" w:tooltip="Federal Acquisition Institute" w:history="1">
        <w:r w:rsidRPr="00A406AE">
          <w:rPr>
            <w:rFonts w:ascii="Arial" w:eastAsia="Calibri" w:hAnsi="Arial" w:cs="Arial"/>
            <w:color w:val="0563C1"/>
            <w:sz w:val="24"/>
            <w:szCs w:val="24"/>
            <w:u w:val="single"/>
          </w:rPr>
          <w:t>Federal Acquisition Institute</w:t>
        </w:r>
      </w:hyperlink>
      <w:r w:rsidRPr="00A406AE">
        <w:rPr>
          <w:rFonts w:ascii="Arial" w:eastAsia="Calibri" w:hAnsi="Arial" w:cs="Arial"/>
          <w:sz w:val="24"/>
          <w:szCs w:val="24"/>
        </w:rPr>
        <w:t xml:space="preserve">, and </w:t>
      </w:r>
      <w:hyperlink r:id="rId16" w:tooltip="DAU Training Center" w:history="1">
        <w:r w:rsidRPr="00A406AE">
          <w:rPr>
            <w:rFonts w:ascii="Arial" w:eastAsia="Calibri" w:hAnsi="Arial" w:cs="Arial"/>
            <w:color w:val="0563C1"/>
            <w:sz w:val="24"/>
            <w:szCs w:val="24"/>
            <w:u w:val="single"/>
          </w:rPr>
          <w:t>Defense Acquisition University</w:t>
        </w:r>
      </w:hyperlink>
      <w:r w:rsidRPr="00A406AE">
        <w:rPr>
          <w:rFonts w:ascii="Arial" w:eastAsia="Calibri" w:hAnsi="Arial" w:cs="Arial"/>
          <w:sz w:val="24"/>
          <w:szCs w:val="24"/>
        </w:rPr>
        <w:t>.</w:t>
      </w:r>
    </w:p>
    <w:p w14:paraId="40294447" w14:textId="08BD997C" w:rsidR="00A406AE" w:rsidRPr="00A406AE" w:rsidRDefault="00A406AE" w:rsidP="00556AD2">
      <w:pPr>
        <w:tabs>
          <w:tab w:val="left" w:pos="6828"/>
        </w:tabs>
        <w:spacing w:after="0" w:line="240" w:lineRule="auto"/>
        <w:contextualSpacing/>
        <w:rPr>
          <w:rFonts w:ascii="Arial" w:eastAsia="Calibri" w:hAnsi="Arial" w:cs="Arial"/>
          <w:b/>
          <w:bCs/>
          <w:sz w:val="28"/>
          <w:szCs w:val="28"/>
        </w:rPr>
      </w:pPr>
      <w:r w:rsidRPr="00A406AE">
        <w:rPr>
          <w:rFonts w:ascii="Arial" w:eastAsia="Calibri" w:hAnsi="Arial" w:cs="Arial"/>
          <w:b/>
          <w:bCs/>
          <w:sz w:val="28"/>
          <w:szCs w:val="28"/>
        </w:rPr>
        <w:t>Section 508 Accessibility Training</w:t>
      </w:r>
      <w:r w:rsidR="00122BB7">
        <w:rPr>
          <w:rFonts w:ascii="Arial" w:eastAsia="Calibri" w:hAnsi="Arial" w:cs="Arial"/>
          <w:b/>
          <w:bCs/>
          <w:sz w:val="28"/>
          <w:szCs w:val="28"/>
        </w:rPr>
        <w:tab/>
      </w:r>
    </w:p>
    <w:p w14:paraId="0A2D27BF" w14:textId="77777777" w:rsidR="00A406AE" w:rsidRPr="00A406AE" w:rsidRDefault="00A406AE" w:rsidP="00556AD2">
      <w:pPr>
        <w:spacing w:after="120" w:line="240" w:lineRule="auto"/>
        <w:rPr>
          <w:rFonts w:ascii="Arial" w:eastAsia="Calibri" w:hAnsi="Arial" w:cs="Arial"/>
          <w:sz w:val="24"/>
          <w:szCs w:val="24"/>
        </w:rPr>
      </w:pPr>
      <w:r w:rsidRPr="00A406AE">
        <w:rPr>
          <w:rFonts w:ascii="Arial" w:eastAsia="Calibri" w:hAnsi="Arial" w:cs="Arial"/>
          <w:sz w:val="24"/>
          <w:szCs w:val="24"/>
        </w:rPr>
        <w:t>Section 508 Accessibility Training courses can be accessed at</w:t>
      </w:r>
      <w:bookmarkStart w:id="1" w:name="_Hlk419199521"/>
      <w:r w:rsidRPr="00A406AE">
        <w:rPr>
          <w:rFonts w:ascii="Arial" w:eastAsia="Calibri" w:hAnsi="Arial" w:cs="Arial"/>
          <w:sz w:val="24"/>
          <w:szCs w:val="24"/>
        </w:rPr>
        <w:t xml:space="preserve">: </w:t>
      </w:r>
      <w:hyperlink r:id="rId17" w:tooltip="CIT 508 Training Webpage" w:history="1">
        <w:bookmarkEnd w:id="1"/>
        <w:r w:rsidRPr="00A406AE">
          <w:rPr>
            <w:rFonts w:ascii="Arial" w:eastAsia="Calibri" w:hAnsi="Arial" w:cs="Arial"/>
            <w:color w:val="0563C1"/>
            <w:sz w:val="24"/>
            <w:szCs w:val="24"/>
            <w:u w:val="single"/>
          </w:rPr>
          <w:t>CIT Section 508 Accessibility Training Website</w:t>
        </w:r>
      </w:hyperlink>
      <w:r w:rsidRPr="00A406AE">
        <w:rPr>
          <w:rFonts w:ascii="Arial" w:eastAsia="Calibri" w:hAnsi="Arial" w:cs="Arial"/>
          <w:sz w:val="24"/>
          <w:szCs w:val="24"/>
        </w:rPr>
        <w:t>.</w:t>
      </w:r>
    </w:p>
    <w:p w14:paraId="015A7699" w14:textId="77777777" w:rsidR="00A406AE" w:rsidRPr="00A406AE" w:rsidRDefault="00A406AE" w:rsidP="00556AD2">
      <w:pPr>
        <w:keepNext/>
        <w:keepLines/>
        <w:spacing w:after="0" w:line="240" w:lineRule="auto"/>
        <w:outlineLvl w:val="1"/>
        <w:rPr>
          <w:rFonts w:ascii="Arial" w:eastAsia="Times New Roman" w:hAnsi="Arial" w:cs="Arial"/>
          <w:b/>
          <w:bCs/>
          <w:color w:val="000000"/>
          <w:sz w:val="28"/>
          <w:szCs w:val="28"/>
        </w:rPr>
      </w:pPr>
      <w:r w:rsidRPr="00A406AE">
        <w:rPr>
          <w:rFonts w:ascii="Arial" w:eastAsia="Times New Roman" w:hAnsi="Arial" w:cs="Arial"/>
          <w:b/>
          <w:bCs/>
          <w:color w:val="000000"/>
          <w:sz w:val="28"/>
          <w:szCs w:val="28"/>
        </w:rPr>
        <w:t>Green Purchasing Training</w:t>
      </w:r>
    </w:p>
    <w:p w14:paraId="06848581" w14:textId="77777777" w:rsidR="00A406AE" w:rsidRDefault="00A406AE" w:rsidP="00556AD2">
      <w:pPr>
        <w:spacing w:after="0" w:line="240" w:lineRule="auto"/>
        <w:rPr>
          <w:rFonts w:ascii="Arial" w:eastAsia="Calibri" w:hAnsi="Arial" w:cs="Arial"/>
          <w:color w:val="000000"/>
          <w:sz w:val="24"/>
          <w:szCs w:val="24"/>
        </w:rPr>
      </w:pPr>
      <w:r w:rsidRPr="00A406AE">
        <w:rPr>
          <w:rFonts w:ascii="Arial" w:eastAsia="Calibri" w:hAnsi="Arial" w:cs="Arial"/>
          <w:color w:val="000000"/>
          <w:sz w:val="24"/>
          <w:szCs w:val="24"/>
        </w:rPr>
        <w:t xml:space="preserve">Green Purchasing Training and other Green Training courses can be found at: </w:t>
      </w:r>
      <w:hyperlink r:id="rId18" w:tooltip="OALM Green Purchasing Website" w:history="1">
        <w:r w:rsidRPr="00A406AE">
          <w:rPr>
            <w:rFonts w:ascii="Arial" w:eastAsia="Calibri" w:hAnsi="Arial" w:cs="Arial"/>
            <w:color w:val="0563C1"/>
            <w:sz w:val="24"/>
            <w:szCs w:val="24"/>
            <w:u w:val="single"/>
          </w:rPr>
          <w:t>OALM Green Purchasing Website</w:t>
        </w:r>
      </w:hyperlink>
      <w:r w:rsidRPr="00A406AE">
        <w:rPr>
          <w:rFonts w:ascii="Arial" w:eastAsia="Calibri" w:hAnsi="Arial" w:cs="Arial"/>
          <w:color w:val="000000"/>
          <w:sz w:val="24"/>
          <w:szCs w:val="24"/>
        </w:rPr>
        <w:t>.</w:t>
      </w:r>
    </w:p>
    <w:p w14:paraId="25026901" w14:textId="77777777" w:rsidR="00FE5BB8" w:rsidRDefault="00FE5BB8" w:rsidP="00556AD2">
      <w:pPr>
        <w:spacing w:after="0" w:line="240" w:lineRule="auto"/>
        <w:rPr>
          <w:rFonts w:ascii="Arial" w:eastAsia="Calibri" w:hAnsi="Arial" w:cs="Arial"/>
          <w:color w:val="000000"/>
          <w:sz w:val="24"/>
          <w:szCs w:val="24"/>
        </w:rPr>
      </w:pPr>
    </w:p>
    <w:p w14:paraId="688300BE" w14:textId="77777777" w:rsidR="00FE5BB8" w:rsidRPr="00A406AE" w:rsidRDefault="00FE5BB8" w:rsidP="00556AD2">
      <w:pPr>
        <w:spacing w:after="0" w:line="240" w:lineRule="auto"/>
        <w:rPr>
          <w:rFonts w:ascii="Arial" w:eastAsia="Calibri" w:hAnsi="Arial" w:cs="Arial"/>
          <w:color w:val="000000"/>
          <w:sz w:val="24"/>
          <w:szCs w:val="24"/>
        </w:rPr>
      </w:pPr>
    </w:p>
    <w:p w14:paraId="04C06E7A" w14:textId="77777777" w:rsidR="00FE5BB8" w:rsidRPr="00FE5BB8" w:rsidRDefault="00FE5BB8" w:rsidP="00556AD2">
      <w:pPr>
        <w:spacing w:after="0" w:line="240" w:lineRule="auto"/>
        <w:contextualSpacing/>
        <w:jc w:val="center"/>
        <w:outlineLvl w:val="0"/>
        <w:rPr>
          <w:rFonts w:ascii="Arial" w:eastAsia="Times New Roman" w:hAnsi="Arial" w:cs="Arial"/>
          <w:b/>
          <w:bCs/>
          <w:color w:val="000000"/>
          <w:sz w:val="40"/>
          <w:szCs w:val="40"/>
        </w:rPr>
      </w:pPr>
      <w:r w:rsidRPr="00FE5BB8">
        <w:rPr>
          <w:rFonts w:ascii="Arial" w:eastAsia="Times New Roman" w:hAnsi="Arial" w:cs="Arial"/>
          <w:b/>
          <w:bCs/>
          <w:color w:val="000000"/>
          <w:sz w:val="40"/>
          <w:szCs w:val="40"/>
        </w:rPr>
        <w:t>NIH Blanket Purchase Agreement (BPA) Lists Available Online</w:t>
      </w:r>
    </w:p>
    <w:p w14:paraId="655AFA43" w14:textId="77777777" w:rsidR="00FE5BB8" w:rsidRPr="00FE5BB8" w:rsidRDefault="00FE5BB8" w:rsidP="00556AD2">
      <w:pPr>
        <w:spacing w:after="0" w:line="240" w:lineRule="auto"/>
        <w:rPr>
          <w:rFonts w:ascii="Arial" w:eastAsia="Calibri" w:hAnsi="Arial" w:cs="Arial"/>
          <w:sz w:val="24"/>
          <w:szCs w:val="24"/>
        </w:rPr>
      </w:pPr>
    </w:p>
    <w:p w14:paraId="6E3FC22A" w14:textId="77777777" w:rsidR="00FE5BB8" w:rsidRPr="00FE5BB8" w:rsidRDefault="00FE5BB8" w:rsidP="00556AD2">
      <w:pPr>
        <w:spacing w:after="120" w:line="240" w:lineRule="auto"/>
        <w:rPr>
          <w:rFonts w:ascii="Arial" w:eastAsia="Calibri" w:hAnsi="Arial" w:cs="Arial"/>
          <w:sz w:val="24"/>
          <w:szCs w:val="24"/>
        </w:rPr>
      </w:pPr>
      <w:r w:rsidRPr="00FE5BB8">
        <w:rPr>
          <w:rFonts w:ascii="Arial" w:eastAsia="Calibri" w:hAnsi="Arial" w:cs="Arial"/>
          <w:sz w:val="24"/>
          <w:szCs w:val="24"/>
        </w:rPr>
        <w:t xml:space="preserve">Lists of all NIH Blanket Purchase Agreements (BPAs) can be found at the NIH Blanket Purchase Agreement </w:t>
      </w:r>
      <w:hyperlink r:id="rId19" w:tooltip="NIH Blanket Purchase Agreement webpage" w:history="1">
        <w:r w:rsidRPr="00FE5BB8">
          <w:rPr>
            <w:rFonts w:ascii="Arial" w:eastAsia="Calibri" w:hAnsi="Arial" w:cs="Arial"/>
            <w:color w:val="0563C1"/>
            <w:sz w:val="24"/>
            <w:szCs w:val="24"/>
            <w:u w:val="single"/>
          </w:rPr>
          <w:t>webpage</w:t>
        </w:r>
      </w:hyperlink>
      <w:r w:rsidRPr="00FE5BB8">
        <w:rPr>
          <w:rFonts w:ascii="Arial" w:eastAsia="Calibri" w:hAnsi="Arial" w:cs="Arial"/>
          <w:sz w:val="24"/>
          <w:szCs w:val="24"/>
        </w:rPr>
        <w:t>.</w:t>
      </w:r>
    </w:p>
    <w:p w14:paraId="1F08BFB1" w14:textId="77777777" w:rsidR="00FE5BB8" w:rsidRPr="00FE5BB8" w:rsidRDefault="00FE5BB8" w:rsidP="00556AD2">
      <w:pPr>
        <w:spacing w:after="120" w:line="240" w:lineRule="auto"/>
        <w:rPr>
          <w:rFonts w:ascii="Arial" w:eastAsia="Calibri" w:hAnsi="Arial" w:cs="Arial"/>
          <w:sz w:val="24"/>
          <w:szCs w:val="24"/>
        </w:rPr>
      </w:pPr>
      <w:r w:rsidRPr="00FE5BB8">
        <w:rPr>
          <w:rFonts w:ascii="Arial" w:eastAsia="Calibri" w:hAnsi="Arial" w:cs="Arial"/>
          <w:sz w:val="24"/>
          <w:szCs w:val="24"/>
        </w:rPr>
        <w:t>This location contains Two BPA Lists:</w:t>
      </w:r>
    </w:p>
    <w:p w14:paraId="2DAEBBA6" w14:textId="77777777" w:rsidR="00FE5BB8" w:rsidRPr="00FE5BB8" w:rsidRDefault="00FE5BB8" w:rsidP="00556AD2">
      <w:pPr>
        <w:spacing w:after="0" w:line="240" w:lineRule="auto"/>
        <w:ind w:left="450"/>
        <w:rPr>
          <w:rFonts w:ascii="Arial" w:eastAsia="Calibri" w:hAnsi="Arial" w:cs="Arial"/>
          <w:sz w:val="24"/>
          <w:szCs w:val="24"/>
        </w:rPr>
      </w:pPr>
      <w:r w:rsidRPr="00FE5BB8">
        <w:rPr>
          <w:rFonts w:ascii="Arial" w:eastAsia="Calibri" w:hAnsi="Arial" w:cs="Arial"/>
          <w:sz w:val="24"/>
          <w:szCs w:val="24"/>
        </w:rPr>
        <w:t>1.  Complete vendor alphabetical list;</w:t>
      </w:r>
    </w:p>
    <w:p w14:paraId="23619AAF" w14:textId="77777777" w:rsidR="00FE5BB8" w:rsidRPr="00FE5BB8" w:rsidRDefault="00FE5BB8" w:rsidP="00556AD2">
      <w:pPr>
        <w:spacing w:after="120" w:line="240" w:lineRule="auto"/>
        <w:ind w:left="446"/>
        <w:rPr>
          <w:rFonts w:ascii="Arial" w:eastAsia="Calibri" w:hAnsi="Arial" w:cs="Arial"/>
          <w:sz w:val="24"/>
          <w:szCs w:val="24"/>
        </w:rPr>
      </w:pPr>
      <w:r w:rsidRPr="00FE5BB8">
        <w:rPr>
          <w:rFonts w:ascii="Arial" w:eastAsia="Calibri" w:hAnsi="Arial" w:cs="Arial"/>
          <w:sz w:val="24"/>
          <w:szCs w:val="24"/>
        </w:rPr>
        <w:t>2.  Vendor list sorted by commodity; and</w:t>
      </w:r>
    </w:p>
    <w:p w14:paraId="7277FB12" w14:textId="77777777" w:rsidR="00FE5BB8" w:rsidRDefault="00FE5BB8" w:rsidP="00556AD2">
      <w:pPr>
        <w:spacing w:after="0" w:line="240" w:lineRule="auto"/>
        <w:rPr>
          <w:rFonts w:ascii="Arial" w:eastAsia="Calibri" w:hAnsi="Arial" w:cs="Arial"/>
          <w:sz w:val="24"/>
          <w:szCs w:val="24"/>
        </w:rPr>
      </w:pPr>
      <w:r w:rsidRPr="00FE5BB8">
        <w:rPr>
          <w:rFonts w:ascii="Arial" w:eastAsia="Calibri" w:hAnsi="Arial" w:cs="Arial"/>
          <w:sz w:val="24"/>
          <w:szCs w:val="24"/>
        </w:rPr>
        <w:t xml:space="preserve">If you have any questions or need further clarification, please contact the BPA helpline at 301-496-5212 or </w:t>
      </w:r>
      <w:hyperlink r:id="rId20" w:tooltip="BPA Program Helpdesk email" w:history="1">
        <w:r w:rsidRPr="00FE5BB8">
          <w:rPr>
            <w:rFonts w:ascii="Arial" w:eastAsia="Calibri" w:hAnsi="Arial" w:cs="Arial"/>
            <w:color w:val="0563C1"/>
            <w:sz w:val="24"/>
            <w:szCs w:val="24"/>
            <w:u w:val="single"/>
          </w:rPr>
          <w:t>email</w:t>
        </w:r>
      </w:hyperlink>
      <w:r w:rsidRPr="00FE5BB8">
        <w:rPr>
          <w:rFonts w:ascii="Arial" w:eastAsia="Calibri" w:hAnsi="Arial" w:cs="Arial"/>
          <w:sz w:val="24"/>
          <w:szCs w:val="24"/>
        </w:rPr>
        <w:t>.</w:t>
      </w:r>
    </w:p>
    <w:p w14:paraId="7FE7D706" w14:textId="77777777" w:rsidR="00C1069A" w:rsidRDefault="00C1069A" w:rsidP="00556AD2">
      <w:pPr>
        <w:spacing w:after="0" w:line="240" w:lineRule="auto"/>
        <w:rPr>
          <w:rFonts w:ascii="Arial" w:eastAsia="Calibri" w:hAnsi="Arial" w:cs="Arial"/>
          <w:sz w:val="24"/>
          <w:szCs w:val="24"/>
        </w:rPr>
      </w:pPr>
    </w:p>
    <w:p w14:paraId="7C30FA2F" w14:textId="77777777" w:rsidR="00C1069A" w:rsidRPr="00FE5BB8" w:rsidRDefault="00C1069A" w:rsidP="00556AD2">
      <w:pPr>
        <w:spacing w:after="0" w:line="240" w:lineRule="auto"/>
        <w:rPr>
          <w:rFonts w:ascii="Arial" w:eastAsia="Calibri" w:hAnsi="Arial" w:cs="Times New Roman"/>
          <w:sz w:val="24"/>
        </w:rPr>
      </w:pPr>
    </w:p>
    <w:p w14:paraId="7DFAEAC3" w14:textId="77777777" w:rsidR="00C1069A" w:rsidRPr="00C1069A" w:rsidRDefault="00C1069A" w:rsidP="00556AD2">
      <w:pPr>
        <w:spacing w:before="480" w:after="0" w:line="240" w:lineRule="auto"/>
        <w:contextualSpacing/>
        <w:jc w:val="center"/>
        <w:outlineLvl w:val="0"/>
        <w:rPr>
          <w:rFonts w:ascii="Arial" w:eastAsia="Times New Roman" w:hAnsi="Arial" w:cs="Times New Roman"/>
          <w:b/>
          <w:bCs/>
          <w:sz w:val="40"/>
          <w:szCs w:val="40"/>
        </w:rPr>
      </w:pPr>
      <w:r w:rsidRPr="00C1069A">
        <w:rPr>
          <w:rFonts w:ascii="Arial" w:eastAsia="Times New Roman" w:hAnsi="Arial" w:cs="Times New Roman"/>
          <w:sz w:val="40"/>
          <w:szCs w:val="40"/>
        </w:rPr>
        <w:t>THANKS!</w:t>
      </w:r>
    </w:p>
    <w:p w14:paraId="1E0D2743" w14:textId="77777777" w:rsidR="00C1069A" w:rsidRPr="00C1069A" w:rsidRDefault="00C1069A" w:rsidP="00556AD2">
      <w:pPr>
        <w:spacing w:after="120" w:line="240" w:lineRule="auto"/>
        <w:rPr>
          <w:rFonts w:ascii="Arial" w:eastAsia="Calibri" w:hAnsi="Arial" w:cs="Arial"/>
          <w:bCs/>
          <w:sz w:val="24"/>
          <w:szCs w:val="24"/>
        </w:rPr>
      </w:pPr>
      <w:r w:rsidRPr="00C1069A">
        <w:rPr>
          <w:rFonts w:ascii="Arial" w:eastAsia="Calibri" w:hAnsi="Arial" w:cs="Arial"/>
          <w:b/>
          <w:bCs/>
          <w:sz w:val="24"/>
          <w:szCs w:val="24"/>
        </w:rPr>
        <w:t>We would like to thank all those who contributed to this and future editions of the OALM Newsletter.</w:t>
      </w:r>
    </w:p>
    <w:p w14:paraId="79A808E2" w14:textId="77777777" w:rsidR="00C1069A" w:rsidRPr="00C1069A" w:rsidRDefault="00C1069A" w:rsidP="00556AD2">
      <w:pPr>
        <w:spacing w:after="120" w:line="240" w:lineRule="auto"/>
        <w:rPr>
          <w:rFonts w:ascii="Arial" w:eastAsia="Calibri" w:hAnsi="Arial" w:cs="Arial"/>
          <w:sz w:val="24"/>
          <w:szCs w:val="24"/>
        </w:rPr>
      </w:pPr>
      <w:r w:rsidRPr="00C1069A">
        <w:rPr>
          <w:rFonts w:ascii="Arial" w:eastAsia="Calibri" w:hAnsi="Arial" w:cs="Arial"/>
          <w:sz w:val="24"/>
          <w:szCs w:val="24"/>
        </w:rPr>
        <w:t>The OALM Newsletter will be published four (4) times in calendar year 20</w:t>
      </w:r>
      <w:r w:rsidR="004667B5">
        <w:rPr>
          <w:rFonts w:ascii="Arial" w:eastAsia="Calibri" w:hAnsi="Arial" w:cs="Arial"/>
          <w:sz w:val="24"/>
          <w:szCs w:val="24"/>
        </w:rPr>
        <w:t>20</w:t>
      </w:r>
      <w:r w:rsidRPr="00C1069A">
        <w:rPr>
          <w:rFonts w:ascii="Arial" w:eastAsia="Calibri" w:hAnsi="Arial" w:cs="Arial"/>
          <w:sz w:val="24"/>
          <w:szCs w:val="24"/>
        </w:rPr>
        <w:t>. We encourage staff to submit articles that would be of interest to our readers. We will do our best to include such articles in future editions of the OALM Newsletter.</w:t>
      </w:r>
    </w:p>
    <w:p w14:paraId="3E69B43F" w14:textId="31B2A074" w:rsidR="00C1069A" w:rsidRPr="00C1069A" w:rsidRDefault="00C1069A" w:rsidP="00556AD2">
      <w:pPr>
        <w:spacing w:after="120" w:line="240" w:lineRule="auto"/>
        <w:rPr>
          <w:rFonts w:ascii="Arial" w:eastAsia="Calibri" w:hAnsi="Arial" w:cs="Arial"/>
          <w:color w:val="0000FF"/>
          <w:position w:val="-1"/>
          <w:sz w:val="24"/>
          <w:szCs w:val="24"/>
        </w:rPr>
      </w:pPr>
      <w:r w:rsidRPr="00C1069A">
        <w:rPr>
          <w:rFonts w:ascii="Arial" w:eastAsia="Calibri" w:hAnsi="Arial" w:cs="Arial"/>
          <w:sz w:val="24"/>
          <w:szCs w:val="24"/>
        </w:rPr>
        <w:t>P</w:t>
      </w:r>
      <w:r w:rsidRPr="00C1069A">
        <w:rPr>
          <w:rFonts w:ascii="Arial" w:eastAsia="Calibri" w:hAnsi="Arial" w:cs="Arial"/>
          <w:spacing w:val="-1"/>
          <w:sz w:val="24"/>
          <w:szCs w:val="24"/>
        </w:rPr>
        <w:t>l</w:t>
      </w:r>
      <w:r w:rsidRPr="00C1069A">
        <w:rPr>
          <w:rFonts w:ascii="Arial" w:eastAsia="Calibri" w:hAnsi="Arial" w:cs="Arial"/>
          <w:sz w:val="24"/>
          <w:szCs w:val="24"/>
        </w:rPr>
        <w:t>ease</w:t>
      </w:r>
      <w:r w:rsidRPr="00C1069A">
        <w:rPr>
          <w:rFonts w:ascii="Arial" w:eastAsia="Calibri" w:hAnsi="Arial" w:cs="Arial"/>
          <w:spacing w:val="-1"/>
          <w:sz w:val="24"/>
          <w:szCs w:val="24"/>
        </w:rPr>
        <w:t xml:space="preserve"> </w:t>
      </w:r>
      <w:r w:rsidRPr="00C1069A">
        <w:rPr>
          <w:rFonts w:ascii="Arial" w:eastAsia="Calibri" w:hAnsi="Arial" w:cs="Arial"/>
          <w:sz w:val="24"/>
          <w:szCs w:val="24"/>
        </w:rPr>
        <w:t>a</w:t>
      </w:r>
      <w:r w:rsidRPr="00C1069A">
        <w:rPr>
          <w:rFonts w:ascii="Arial" w:eastAsia="Calibri" w:hAnsi="Arial" w:cs="Arial"/>
          <w:spacing w:val="-2"/>
          <w:sz w:val="24"/>
          <w:szCs w:val="24"/>
        </w:rPr>
        <w:t>d</w:t>
      </w:r>
      <w:r w:rsidRPr="00C1069A">
        <w:rPr>
          <w:rFonts w:ascii="Arial" w:eastAsia="Calibri" w:hAnsi="Arial" w:cs="Arial"/>
          <w:sz w:val="24"/>
          <w:szCs w:val="24"/>
        </w:rPr>
        <w:t>d</w:t>
      </w:r>
      <w:r w:rsidRPr="00C1069A">
        <w:rPr>
          <w:rFonts w:ascii="Arial" w:eastAsia="Calibri" w:hAnsi="Arial" w:cs="Arial"/>
          <w:spacing w:val="-1"/>
          <w:sz w:val="24"/>
          <w:szCs w:val="24"/>
        </w:rPr>
        <w:t>r</w:t>
      </w:r>
      <w:r w:rsidRPr="00C1069A">
        <w:rPr>
          <w:rFonts w:ascii="Arial" w:eastAsia="Calibri" w:hAnsi="Arial" w:cs="Arial"/>
          <w:sz w:val="24"/>
          <w:szCs w:val="24"/>
        </w:rPr>
        <w:t>ess a</w:t>
      </w:r>
      <w:r w:rsidRPr="00C1069A">
        <w:rPr>
          <w:rFonts w:ascii="Arial" w:eastAsia="Calibri" w:hAnsi="Arial" w:cs="Arial"/>
          <w:spacing w:val="-1"/>
          <w:sz w:val="24"/>
          <w:szCs w:val="24"/>
        </w:rPr>
        <w:t>l</w:t>
      </w:r>
      <w:r w:rsidRPr="00C1069A">
        <w:rPr>
          <w:rFonts w:ascii="Arial" w:eastAsia="Calibri" w:hAnsi="Arial" w:cs="Arial"/>
          <w:sz w:val="24"/>
          <w:szCs w:val="24"/>
        </w:rPr>
        <w:t>l co</w:t>
      </w:r>
      <w:r w:rsidRPr="00C1069A">
        <w:rPr>
          <w:rFonts w:ascii="Arial" w:eastAsia="Calibri" w:hAnsi="Arial" w:cs="Arial"/>
          <w:spacing w:val="-1"/>
          <w:sz w:val="24"/>
          <w:szCs w:val="24"/>
        </w:rPr>
        <w:t>r</w:t>
      </w:r>
      <w:r w:rsidRPr="00C1069A">
        <w:rPr>
          <w:rFonts w:ascii="Arial" w:eastAsia="Calibri" w:hAnsi="Arial" w:cs="Arial"/>
          <w:spacing w:val="-3"/>
          <w:sz w:val="24"/>
          <w:szCs w:val="24"/>
        </w:rPr>
        <w:t>r</w:t>
      </w:r>
      <w:r w:rsidRPr="00C1069A">
        <w:rPr>
          <w:rFonts w:ascii="Arial" w:eastAsia="Calibri" w:hAnsi="Arial" w:cs="Arial"/>
          <w:sz w:val="24"/>
          <w:szCs w:val="24"/>
        </w:rPr>
        <w:t>esp</w:t>
      </w:r>
      <w:r w:rsidRPr="00C1069A">
        <w:rPr>
          <w:rFonts w:ascii="Arial" w:eastAsia="Calibri" w:hAnsi="Arial" w:cs="Arial"/>
          <w:spacing w:val="-2"/>
          <w:sz w:val="24"/>
          <w:szCs w:val="24"/>
        </w:rPr>
        <w:t>o</w:t>
      </w:r>
      <w:r w:rsidRPr="00C1069A">
        <w:rPr>
          <w:rFonts w:ascii="Arial" w:eastAsia="Calibri" w:hAnsi="Arial" w:cs="Arial"/>
          <w:sz w:val="24"/>
          <w:szCs w:val="24"/>
        </w:rPr>
        <w:t>nd</w:t>
      </w:r>
      <w:r w:rsidRPr="00C1069A">
        <w:rPr>
          <w:rFonts w:ascii="Arial" w:eastAsia="Calibri" w:hAnsi="Arial" w:cs="Arial"/>
          <w:spacing w:val="-2"/>
          <w:sz w:val="24"/>
          <w:szCs w:val="24"/>
        </w:rPr>
        <w:t>e</w:t>
      </w:r>
      <w:r w:rsidRPr="00C1069A">
        <w:rPr>
          <w:rFonts w:ascii="Arial" w:eastAsia="Calibri" w:hAnsi="Arial" w:cs="Arial"/>
          <w:sz w:val="24"/>
          <w:szCs w:val="24"/>
        </w:rPr>
        <w:t>nce</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t</w:t>
      </w:r>
      <w:r w:rsidRPr="00C1069A">
        <w:rPr>
          <w:rFonts w:ascii="Arial" w:eastAsia="Calibri" w:hAnsi="Arial" w:cs="Arial"/>
          <w:sz w:val="24"/>
          <w:szCs w:val="24"/>
        </w:rPr>
        <w:t>o</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t</w:t>
      </w:r>
      <w:r w:rsidRPr="00C1069A">
        <w:rPr>
          <w:rFonts w:ascii="Arial" w:eastAsia="Calibri" w:hAnsi="Arial" w:cs="Arial"/>
          <w:sz w:val="24"/>
          <w:szCs w:val="24"/>
        </w:rPr>
        <w:t>he</w:t>
      </w:r>
      <w:r w:rsidRPr="00C1069A">
        <w:rPr>
          <w:rFonts w:ascii="Arial" w:eastAsia="Calibri" w:hAnsi="Arial" w:cs="Arial"/>
          <w:spacing w:val="-1"/>
          <w:sz w:val="24"/>
          <w:szCs w:val="24"/>
        </w:rPr>
        <w:t xml:space="preserve"> </w:t>
      </w:r>
      <w:r w:rsidRPr="00C1069A">
        <w:rPr>
          <w:rFonts w:ascii="Arial" w:eastAsia="Calibri" w:hAnsi="Arial" w:cs="Arial"/>
          <w:sz w:val="24"/>
          <w:szCs w:val="24"/>
        </w:rPr>
        <w:t>ed</w:t>
      </w:r>
      <w:r w:rsidRPr="00C1069A">
        <w:rPr>
          <w:rFonts w:ascii="Arial" w:eastAsia="Calibri" w:hAnsi="Arial" w:cs="Arial"/>
          <w:spacing w:val="-1"/>
          <w:sz w:val="24"/>
          <w:szCs w:val="24"/>
        </w:rPr>
        <w:t>i</w:t>
      </w:r>
      <w:r w:rsidRPr="00C1069A">
        <w:rPr>
          <w:rFonts w:ascii="Arial" w:eastAsia="Calibri" w:hAnsi="Arial" w:cs="Arial"/>
          <w:spacing w:val="-2"/>
          <w:sz w:val="24"/>
          <w:szCs w:val="24"/>
        </w:rPr>
        <w:t>t</w:t>
      </w:r>
      <w:r w:rsidRPr="00C1069A">
        <w:rPr>
          <w:rFonts w:ascii="Arial" w:eastAsia="Calibri" w:hAnsi="Arial" w:cs="Arial"/>
          <w:sz w:val="24"/>
          <w:szCs w:val="24"/>
        </w:rPr>
        <w:t>o</w:t>
      </w:r>
      <w:r w:rsidRPr="00C1069A">
        <w:rPr>
          <w:rFonts w:ascii="Arial" w:eastAsia="Calibri" w:hAnsi="Arial" w:cs="Arial"/>
          <w:spacing w:val="-1"/>
          <w:sz w:val="24"/>
          <w:szCs w:val="24"/>
        </w:rPr>
        <w:t>r</w:t>
      </w:r>
      <w:r w:rsidRPr="00C1069A">
        <w:rPr>
          <w:rFonts w:ascii="Arial" w:eastAsia="Calibri" w:hAnsi="Arial" w:cs="Arial"/>
          <w:sz w:val="24"/>
          <w:szCs w:val="24"/>
        </w:rPr>
        <w:t xml:space="preserve">s: </w:t>
      </w:r>
      <w:r w:rsidRPr="00C1069A">
        <w:rPr>
          <w:rFonts w:ascii="Arial" w:eastAsia="Calibri" w:hAnsi="Arial" w:cs="Arial"/>
          <w:spacing w:val="-1"/>
          <w:sz w:val="24"/>
          <w:szCs w:val="24"/>
        </w:rPr>
        <w:t>Mil</w:t>
      </w:r>
      <w:r w:rsidRPr="00C1069A">
        <w:rPr>
          <w:rFonts w:ascii="Arial" w:eastAsia="Calibri" w:hAnsi="Arial" w:cs="Arial"/>
          <w:sz w:val="24"/>
          <w:szCs w:val="24"/>
        </w:rPr>
        <w:t xml:space="preserve">ton Nicholas, </w:t>
      </w:r>
      <w:hyperlink r:id="rId21" w:tooltip="NicholaM@od.nih.gov" w:history="1">
        <w:r w:rsidRPr="00C1069A">
          <w:rPr>
            <w:rFonts w:ascii="Arial" w:eastAsia="Calibri" w:hAnsi="Arial" w:cs="Arial"/>
            <w:color w:val="0563C1"/>
            <w:spacing w:val="-1"/>
            <w:sz w:val="24"/>
            <w:szCs w:val="24"/>
            <w:u w:val="single" w:color="0000FF"/>
          </w:rPr>
          <w:t>Ni</w:t>
        </w:r>
        <w:r w:rsidRPr="00C1069A">
          <w:rPr>
            <w:rFonts w:ascii="Arial" w:eastAsia="Calibri" w:hAnsi="Arial" w:cs="Arial"/>
            <w:color w:val="0563C1"/>
            <w:sz w:val="24"/>
            <w:szCs w:val="24"/>
            <w:u w:val="single" w:color="0000FF"/>
          </w:rPr>
          <w:t>cho</w:t>
        </w:r>
        <w:r w:rsidRPr="00C1069A">
          <w:rPr>
            <w:rFonts w:ascii="Arial" w:eastAsia="Calibri" w:hAnsi="Arial" w:cs="Arial"/>
            <w:color w:val="0563C1"/>
            <w:spacing w:val="-1"/>
            <w:sz w:val="24"/>
            <w:szCs w:val="24"/>
            <w:u w:val="single" w:color="0000FF"/>
          </w:rPr>
          <w:t>l</w:t>
        </w:r>
        <w:r w:rsidRPr="00C1069A">
          <w:rPr>
            <w:rFonts w:ascii="Arial" w:eastAsia="Calibri" w:hAnsi="Arial" w:cs="Arial"/>
            <w:color w:val="0563C1"/>
            <w:sz w:val="24"/>
            <w:szCs w:val="24"/>
            <w:u w:val="single" w:color="0000FF"/>
          </w:rPr>
          <w:t>a</w:t>
        </w:r>
        <w:r w:rsidRPr="00C1069A">
          <w:rPr>
            <w:rFonts w:ascii="Arial" w:eastAsia="Calibri" w:hAnsi="Arial" w:cs="Arial"/>
            <w:color w:val="0563C1"/>
            <w:spacing w:val="-1"/>
            <w:sz w:val="24"/>
            <w:szCs w:val="24"/>
            <w:u w:val="single" w:color="0000FF"/>
          </w:rPr>
          <w:t>M</w:t>
        </w:r>
        <w:r w:rsidRPr="00C1069A">
          <w:rPr>
            <w:rFonts w:ascii="Arial" w:eastAsia="Calibri" w:hAnsi="Arial" w:cs="Arial"/>
            <w:color w:val="0563C1"/>
            <w:sz w:val="24"/>
            <w:szCs w:val="24"/>
            <w:u w:val="single" w:color="0000FF"/>
          </w:rPr>
          <w:t>@</w:t>
        </w:r>
        <w:r w:rsidRPr="00C1069A">
          <w:rPr>
            <w:rFonts w:ascii="Arial" w:eastAsia="Calibri" w:hAnsi="Arial" w:cs="Arial"/>
            <w:color w:val="0563C1"/>
            <w:spacing w:val="-1"/>
            <w:sz w:val="24"/>
            <w:szCs w:val="24"/>
            <w:u w:val="single" w:color="0000FF"/>
          </w:rPr>
          <w:t>o</w:t>
        </w:r>
        <w:r w:rsidRPr="00C1069A">
          <w:rPr>
            <w:rFonts w:ascii="Arial" w:eastAsia="Calibri" w:hAnsi="Arial" w:cs="Arial"/>
            <w:color w:val="0563C1"/>
            <w:sz w:val="24"/>
            <w:szCs w:val="24"/>
            <w:u w:val="single" w:color="0000FF"/>
          </w:rPr>
          <w:t>d.n</w:t>
        </w:r>
        <w:r w:rsidRPr="00C1069A">
          <w:rPr>
            <w:rFonts w:ascii="Arial" w:eastAsia="Calibri" w:hAnsi="Arial" w:cs="Arial"/>
            <w:color w:val="0563C1"/>
            <w:spacing w:val="-1"/>
            <w:sz w:val="24"/>
            <w:szCs w:val="24"/>
            <w:u w:val="single" w:color="0000FF"/>
          </w:rPr>
          <w:t>i</w:t>
        </w:r>
        <w:r w:rsidRPr="00C1069A">
          <w:rPr>
            <w:rFonts w:ascii="Arial" w:eastAsia="Calibri" w:hAnsi="Arial" w:cs="Arial"/>
            <w:color w:val="0563C1"/>
            <w:sz w:val="24"/>
            <w:szCs w:val="24"/>
            <w:u w:val="single" w:color="0000FF"/>
          </w:rPr>
          <w:t>h.</w:t>
        </w:r>
        <w:r w:rsidRPr="00C1069A">
          <w:rPr>
            <w:rFonts w:ascii="Arial" w:eastAsia="Calibri" w:hAnsi="Arial" w:cs="Arial"/>
            <w:color w:val="0563C1"/>
            <w:spacing w:val="-1"/>
            <w:sz w:val="24"/>
            <w:szCs w:val="24"/>
            <w:u w:val="single" w:color="0000FF"/>
          </w:rPr>
          <w:t>g</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v</w:t>
        </w:r>
      </w:hyperlink>
      <w:r w:rsidRPr="00C1069A">
        <w:rPr>
          <w:rFonts w:ascii="Arial" w:eastAsia="Calibri" w:hAnsi="Arial" w:cs="Arial"/>
          <w:color w:val="000000"/>
          <w:sz w:val="24"/>
          <w:szCs w:val="24"/>
        </w:rPr>
        <w:t xml:space="preserve">, </w:t>
      </w:r>
      <w:r w:rsidR="002743A6">
        <w:rPr>
          <w:rFonts w:ascii="Arial" w:eastAsia="Calibri" w:hAnsi="Arial" w:cs="Arial"/>
          <w:color w:val="000000"/>
          <w:sz w:val="24"/>
          <w:szCs w:val="24"/>
        </w:rPr>
        <w:t xml:space="preserve">Michele </w:t>
      </w:r>
      <w:r w:rsidRPr="00C1069A">
        <w:rPr>
          <w:rFonts w:ascii="Arial" w:eastAsia="Calibri" w:hAnsi="Arial" w:cs="Arial"/>
          <w:spacing w:val="-1"/>
          <w:sz w:val="24"/>
          <w:szCs w:val="24"/>
        </w:rPr>
        <w:t>M</w:t>
      </w:r>
      <w:r w:rsidRPr="00C1069A">
        <w:rPr>
          <w:rFonts w:ascii="Arial" w:eastAsia="Calibri" w:hAnsi="Arial" w:cs="Arial"/>
          <w:sz w:val="24"/>
          <w:szCs w:val="24"/>
        </w:rPr>
        <w:t>c</w:t>
      </w:r>
      <w:r w:rsidRPr="00C1069A">
        <w:rPr>
          <w:rFonts w:ascii="Arial" w:eastAsia="Calibri" w:hAnsi="Arial" w:cs="Arial"/>
          <w:spacing w:val="-1"/>
          <w:sz w:val="24"/>
          <w:szCs w:val="24"/>
        </w:rPr>
        <w:t>D</w:t>
      </w:r>
      <w:r w:rsidRPr="00C1069A">
        <w:rPr>
          <w:rFonts w:ascii="Arial" w:eastAsia="Calibri" w:hAnsi="Arial" w:cs="Arial"/>
          <w:sz w:val="24"/>
          <w:szCs w:val="24"/>
        </w:rPr>
        <w:t>e</w:t>
      </w:r>
      <w:r w:rsidRPr="00C1069A">
        <w:rPr>
          <w:rFonts w:ascii="Arial" w:eastAsia="Calibri" w:hAnsi="Arial" w:cs="Arial"/>
          <w:spacing w:val="-1"/>
          <w:sz w:val="24"/>
          <w:szCs w:val="24"/>
        </w:rPr>
        <w:t>r</w:t>
      </w:r>
      <w:r w:rsidRPr="00C1069A">
        <w:rPr>
          <w:rFonts w:ascii="Arial" w:eastAsia="Calibri" w:hAnsi="Arial" w:cs="Arial"/>
          <w:spacing w:val="2"/>
          <w:sz w:val="24"/>
          <w:szCs w:val="24"/>
        </w:rPr>
        <w:t>m</w:t>
      </w:r>
      <w:r w:rsidRPr="00C1069A">
        <w:rPr>
          <w:rFonts w:ascii="Arial" w:eastAsia="Calibri" w:hAnsi="Arial" w:cs="Arial"/>
          <w:sz w:val="24"/>
          <w:szCs w:val="24"/>
        </w:rPr>
        <w:t xml:space="preserve">ott, </w:t>
      </w:r>
      <w:hyperlink r:id="rId22" w:tooltip="McDermottMl@od.nih.gov" w:history="1">
        <w:r w:rsidRPr="00C1069A">
          <w:rPr>
            <w:rFonts w:ascii="Arial" w:eastAsia="Calibri" w:hAnsi="Arial" w:cs="Arial"/>
            <w:color w:val="0563C1"/>
            <w:spacing w:val="-1"/>
            <w:sz w:val="24"/>
            <w:szCs w:val="24"/>
            <w:u w:val="single" w:color="0000FF"/>
          </w:rPr>
          <w:t>M</w:t>
        </w:r>
        <w:r w:rsidRPr="00C1069A">
          <w:rPr>
            <w:rFonts w:ascii="Arial" w:eastAsia="Calibri" w:hAnsi="Arial" w:cs="Arial"/>
            <w:color w:val="0563C1"/>
            <w:sz w:val="24"/>
            <w:szCs w:val="24"/>
            <w:u w:val="single" w:color="0000FF"/>
          </w:rPr>
          <w:t>c</w:t>
        </w:r>
        <w:r w:rsidRPr="00C1069A">
          <w:rPr>
            <w:rFonts w:ascii="Arial" w:eastAsia="Calibri" w:hAnsi="Arial" w:cs="Arial"/>
            <w:color w:val="0563C1"/>
            <w:spacing w:val="-1"/>
            <w:sz w:val="24"/>
            <w:szCs w:val="24"/>
            <w:u w:val="single" w:color="0000FF"/>
          </w:rPr>
          <w:t>D</w:t>
        </w:r>
        <w:r w:rsidRPr="00C1069A">
          <w:rPr>
            <w:rFonts w:ascii="Arial" w:eastAsia="Calibri" w:hAnsi="Arial" w:cs="Arial"/>
            <w:color w:val="0563C1"/>
            <w:sz w:val="24"/>
            <w:szCs w:val="24"/>
            <w:u w:val="single" w:color="0000FF"/>
          </w:rPr>
          <w:t>e</w:t>
        </w:r>
        <w:r w:rsidRPr="00C1069A">
          <w:rPr>
            <w:rFonts w:ascii="Arial" w:eastAsia="Calibri" w:hAnsi="Arial" w:cs="Arial"/>
            <w:color w:val="0563C1"/>
            <w:spacing w:val="-1"/>
            <w:sz w:val="24"/>
            <w:szCs w:val="24"/>
            <w:u w:val="single" w:color="0000FF"/>
          </w:rPr>
          <w:t>r</w:t>
        </w:r>
        <w:r w:rsidRPr="00C1069A">
          <w:rPr>
            <w:rFonts w:ascii="Arial" w:eastAsia="Calibri" w:hAnsi="Arial" w:cs="Arial"/>
            <w:color w:val="0563C1"/>
            <w:spacing w:val="2"/>
            <w:sz w:val="24"/>
            <w:szCs w:val="24"/>
            <w:u w:val="single" w:color="0000FF"/>
          </w:rPr>
          <w:t>m</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t</w:t>
        </w:r>
        <w:r w:rsidRPr="00C1069A">
          <w:rPr>
            <w:rFonts w:ascii="Arial" w:eastAsia="Calibri" w:hAnsi="Arial" w:cs="Arial"/>
            <w:color w:val="0563C1"/>
            <w:sz w:val="24"/>
            <w:szCs w:val="24"/>
            <w:u w:val="single" w:color="0000FF"/>
          </w:rPr>
          <w:t>t</w:t>
        </w:r>
        <w:r w:rsidRPr="00C1069A">
          <w:rPr>
            <w:rFonts w:ascii="Arial" w:eastAsia="Calibri" w:hAnsi="Arial" w:cs="Arial"/>
            <w:color w:val="0563C1"/>
            <w:spacing w:val="-1"/>
            <w:sz w:val="24"/>
            <w:szCs w:val="24"/>
            <w:u w:val="single" w:color="0000FF"/>
          </w:rPr>
          <w:t>Ml</w:t>
        </w:r>
        <w:r w:rsidRPr="00C1069A">
          <w:rPr>
            <w:rFonts w:ascii="Arial" w:eastAsia="Calibri" w:hAnsi="Arial" w:cs="Arial"/>
            <w:color w:val="0563C1"/>
            <w:sz w:val="24"/>
            <w:szCs w:val="24"/>
            <w:u w:val="single" w:color="0000FF"/>
          </w:rPr>
          <w:t>@od</w:t>
        </w:r>
        <w:r w:rsidRPr="00C1069A">
          <w:rPr>
            <w:rFonts w:ascii="Arial" w:eastAsia="Calibri" w:hAnsi="Arial" w:cs="Arial"/>
            <w:color w:val="0563C1"/>
            <w:spacing w:val="-2"/>
            <w:sz w:val="24"/>
            <w:szCs w:val="24"/>
            <w:u w:val="single" w:color="0000FF"/>
          </w:rPr>
          <w:t>.</w:t>
        </w:r>
        <w:r w:rsidRPr="00C1069A">
          <w:rPr>
            <w:rFonts w:ascii="Arial" w:eastAsia="Calibri" w:hAnsi="Arial" w:cs="Arial"/>
            <w:color w:val="0563C1"/>
            <w:sz w:val="24"/>
            <w:szCs w:val="24"/>
            <w:u w:val="single" w:color="0000FF"/>
          </w:rPr>
          <w:t>n</w:t>
        </w:r>
        <w:r w:rsidRPr="00C1069A">
          <w:rPr>
            <w:rFonts w:ascii="Arial" w:eastAsia="Calibri" w:hAnsi="Arial" w:cs="Arial"/>
            <w:color w:val="0563C1"/>
            <w:spacing w:val="-1"/>
            <w:sz w:val="24"/>
            <w:szCs w:val="24"/>
            <w:u w:val="single" w:color="0000FF"/>
          </w:rPr>
          <w:t>i</w:t>
        </w:r>
        <w:r w:rsidRPr="00C1069A">
          <w:rPr>
            <w:rFonts w:ascii="Arial" w:eastAsia="Calibri" w:hAnsi="Arial" w:cs="Arial"/>
            <w:color w:val="0563C1"/>
            <w:sz w:val="24"/>
            <w:szCs w:val="24"/>
            <w:u w:val="single" w:color="0000FF"/>
          </w:rPr>
          <w:t>h.</w:t>
        </w:r>
        <w:r w:rsidRPr="00C1069A">
          <w:rPr>
            <w:rFonts w:ascii="Arial" w:eastAsia="Calibri" w:hAnsi="Arial" w:cs="Arial"/>
            <w:color w:val="0563C1"/>
            <w:spacing w:val="-1"/>
            <w:sz w:val="24"/>
            <w:szCs w:val="24"/>
            <w:u w:val="single" w:color="0000FF"/>
          </w:rPr>
          <w:t>g</w:t>
        </w:r>
        <w:r w:rsidRPr="00C1069A">
          <w:rPr>
            <w:rFonts w:ascii="Arial" w:eastAsia="Calibri" w:hAnsi="Arial" w:cs="Arial"/>
            <w:color w:val="0563C1"/>
            <w:sz w:val="24"/>
            <w:szCs w:val="24"/>
            <w:u w:val="single" w:color="0000FF"/>
          </w:rPr>
          <w:t>o</w:t>
        </w:r>
        <w:r w:rsidRPr="00C1069A">
          <w:rPr>
            <w:rFonts w:ascii="Arial" w:eastAsia="Calibri" w:hAnsi="Arial" w:cs="Arial"/>
            <w:color w:val="0563C1"/>
            <w:spacing w:val="-2"/>
            <w:sz w:val="24"/>
            <w:szCs w:val="24"/>
            <w:u w:val="single" w:color="0000FF"/>
          </w:rPr>
          <w:t>v</w:t>
        </w:r>
      </w:hyperlink>
      <w:r w:rsidRPr="00C1069A">
        <w:rPr>
          <w:rFonts w:ascii="Arial" w:eastAsia="Calibri" w:hAnsi="Arial" w:cs="Arial"/>
          <w:sz w:val="24"/>
          <w:szCs w:val="24"/>
        </w:rPr>
        <w:t>, Jesse</w:t>
      </w:r>
      <w:r w:rsidRPr="00C1069A">
        <w:rPr>
          <w:rFonts w:ascii="Arial" w:eastAsia="Calibri" w:hAnsi="Arial" w:cs="Arial"/>
          <w:spacing w:val="-1"/>
          <w:sz w:val="24"/>
          <w:szCs w:val="24"/>
        </w:rPr>
        <w:t xml:space="preserve"> </w:t>
      </w:r>
      <w:r w:rsidRPr="00C1069A">
        <w:rPr>
          <w:rFonts w:ascii="Arial" w:eastAsia="Calibri" w:hAnsi="Arial" w:cs="Arial"/>
          <w:sz w:val="24"/>
          <w:szCs w:val="24"/>
        </w:rPr>
        <w:t>Lee</w:t>
      </w:r>
      <w:r w:rsidRPr="00C1069A">
        <w:rPr>
          <w:rFonts w:ascii="Arial" w:eastAsia="Calibri" w:hAnsi="Arial" w:cs="Arial"/>
          <w:spacing w:val="-1"/>
          <w:sz w:val="24"/>
          <w:szCs w:val="24"/>
        </w:rPr>
        <w:t>,</w:t>
      </w:r>
      <w:r w:rsidRPr="00C1069A">
        <w:rPr>
          <w:rFonts w:ascii="Arial" w:eastAsia="Calibri" w:hAnsi="Arial" w:cs="Arial"/>
          <w:sz w:val="24"/>
          <w:szCs w:val="24"/>
        </w:rPr>
        <w:t xml:space="preserve"> </w:t>
      </w:r>
      <w:hyperlink r:id="rId23" w:tooltip="Jesse.Lee2@nih.gov" w:history="1">
        <w:r w:rsidRPr="00C1069A">
          <w:rPr>
            <w:rFonts w:ascii="Arial" w:eastAsia="Calibri" w:hAnsi="Arial" w:cs="Arial"/>
            <w:color w:val="0563C1"/>
            <w:sz w:val="24"/>
            <w:szCs w:val="24"/>
            <w:u w:val="single"/>
          </w:rPr>
          <w:t>Jesse</w:t>
        </w:r>
        <w:r w:rsidRPr="00C1069A">
          <w:rPr>
            <w:rFonts w:ascii="Arial" w:eastAsia="Calibri" w:hAnsi="Arial" w:cs="Arial"/>
            <w:color w:val="0563C1"/>
            <w:spacing w:val="-2"/>
            <w:sz w:val="24"/>
            <w:szCs w:val="24"/>
            <w:u w:val="single"/>
          </w:rPr>
          <w:t>.</w:t>
        </w:r>
        <w:r w:rsidRPr="00C1069A">
          <w:rPr>
            <w:rFonts w:ascii="Arial" w:eastAsia="Calibri" w:hAnsi="Arial" w:cs="Arial"/>
            <w:color w:val="0563C1"/>
            <w:sz w:val="24"/>
            <w:szCs w:val="24"/>
            <w:u w:val="single"/>
          </w:rPr>
          <w:t>Le</w:t>
        </w:r>
        <w:r w:rsidRPr="00C1069A">
          <w:rPr>
            <w:rFonts w:ascii="Arial" w:eastAsia="Calibri" w:hAnsi="Arial" w:cs="Arial"/>
            <w:color w:val="0563C1"/>
            <w:spacing w:val="-2"/>
            <w:sz w:val="24"/>
            <w:szCs w:val="24"/>
            <w:u w:val="single"/>
          </w:rPr>
          <w:t>e</w:t>
        </w:r>
        <w:r w:rsidRPr="00C1069A">
          <w:rPr>
            <w:rFonts w:ascii="Arial" w:eastAsia="Calibri" w:hAnsi="Arial" w:cs="Arial"/>
            <w:color w:val="0563C1"/>
            <w:sz w:val="24"/>
            <w:szCs w:val="24"/>
            <w:u w:val="single"/>
          </w:rPr>
          <w:t>2</w:t>
        </w:r>
        <w:r w:rsidRPr="00C1069A">
          <w:rPr>
            <w:rFonts w:ascii="Arial" w:eastAsia="Calibri" w:hAnsi="Arial" w:cs="Arial"/>
            <w:color w:val="0563C1"/>
            <w:spacing w:val="-1"/>
            <w:sz w:val="24"/>
            <w:szCs w:val="24"/>
            <w:u w:val="single"/>
          </w:rPr>
          <w:t>@ni</w:t>
        </w:r>
        <w:r w:rsidRPr="00C1069A">
          <w:rPr>
            <w:rFonts w:ascii="Arial" w:eastAsia="Calibri" w:hAnsi="Arial" w:cs="Arial"/>
            <w:color w:val="0563C1"/>
            <w:sz w:val="24"/>
            <w:szCs w:val="24"/>
            <w:u w:val="single"/>
          </w:rPr>
          <w:t>h.</w:t>
        </w:r>
        <w:r w:rsidRPr="00C1069A">
          <w:rPr>
            <w:rFonts w:ascii="Arial" w:eastAsia="Calibri" w:hAnsi="Arial" w:cs="Arial"/>
            <w:color w:val="0563C1"/>
            <w:spacing w:val="-1"/>
            <w:sz w:val="24"/>
            <w:szCs w:val="24"/>
            <w:u w:val="single"/>
          </w:rPr>
          <w:t>g</w:t>
        </w:r>
        <w:r w:rsidRPr="00C1069A">
          <w:rPr>
            <w:rFonts w:ascii="Arial" w:eastAsia="Calibri" w:hAnsi="Arial" w:cs="Arial"/>
            <w:color w:val="0563C1"/>
            <w:sz w:val="24"/>
            <w:szCs w:val="24"/>
            <w:u w:val="single"/>
          </w:rPr>
          <w:t>o</w:t>
        </w:r>
        <w:r w:rsidRPr="00C1069A">
          <w:rPr>
            <w:rFonts w:ascii="Arial" w:eastAsia="Calibri" w:hAnsi="Arial" w:cs="Arial"/>
            <w:color w:val="0563C1"/>
            <w:spacing w:val="-2"/>
            <w:sz w:val="24"/>
            <w:szCs w:val="24"/>
            <w:u w:val="single"/>
          </w:rPr>
          <w:t>v</w:t>
        </w:r>
      </w:hyperlink>
      <w:hyperlink r:id="rId24" w:history="1">
        <w:r w:rsidRPr="00C1069A">
          <w:rPr>
            <w:rFonts w:ascii="Arial" w:eastAsia="Calibri" w:hAnsi="Arial" w:cs="Arial"/>
            <w:color w:val="000000"/>
            <w:sz w:val="24"/>
            <w:szCs w:val="24"/>
          </w:rPr>
          <w:t>, or Ba</w:t>
        </w:r>
        <w:r w:rsidRPr="00C1069A">
          <w:rPr>
            <w:rFonts w:ascii="Arial" w:eastAsia="Calibri" w:hAnsi="Arial" w:cs="Arial"/>
            <w:color w:val="000000"/>
            <w:spacing w:val="-1"/>
            <w:sz w:val="24"/>
            <w:szCs w:val="24"/>
          </w:rPr>
          <w:t>rry</w:t>
        </w:r>
      </w:hyperlink>
      <w:r w:rsidRPr="00C1069A">
        <w:rPr>
          <w:rFonts w:ascii="Arial" w:eastAsia="Calibri" w:hAnsi="Arial" w:cs="Arial"/>
          <w:color w:val="000000"/>
          <w:spacing w:val="-1"/>
          <w:sz w:val="24"/>
          <w:szCs w:val="24"/>
        </w:rPr>
        <w:t xml:space="preserve"> </w:t>
      </w:r>
      <w:r w:rsidRPr="00C1069A">
        <w:rPr>
          <w:rFonts w:ascii="Arial" w:eastAsia="Calibri" w:hAnsi="Arial" w:cs="Arial"/>
          <w:color w:val="000000"/>
          <w:position w:val="-1"/>
          <w:sz w:val="24"/>
          <w:szCs w:val="24"/>
        </w:rPr>
        <w:t>So</w:t>
      </w:r>
      <w:r w:rsidRPr="00C1069A">
        <w:rPr>
          <w:rFonts w:ascii="Arial" w:eastAsia="Calibri" w:hAnsi="Arial" w:cs="Arial"/>
          <w:spacing w:val="-1"/>
          <w:position w:val="-1"/>
          <w:sz w:val="24"/>
          <w:szCs w:val="24"/>
        </w:rPr>
        <w:t>lo</w:t>
      </w:r>
      <w:r w:rsidRPr="00C1069A">
        <w:rPr>
          <w:rFonts w:ascii="Arial" w:eastAsia="Calibri" w:hAnsi="Arial" w:cs="Arial"/>
          <w:spacing w:val="2"/>
          <w:position w:val="-1"/>
          <w:sz w:val="24"/>
          <w:szCs w:val="24"/>
        </w:rPr>
        <w:t>m</w:t>
      </w:r>
      <w:r w:rsidRPr="00C1069A">
        <w:rPr>
          <w:rFonts w:ascii="Arial" w:eastAsia="Calibri" w:hAnsi="Arial" w:cs="Arial"/>
          <w:position w:val="-1"/>
          <w:sz w:val="24"/>
          <w:szCs w:val="24"/>
        </w:rPr>
        <w:t>o</w:t>
      </w:r>
      <w:r w:rsidRPr="00C1069A">
        <w:rPr>
          <w:rFonts w:ascii="Arial" w:eastAsia="Calibri" w:hAnsi="Arial" w:cs="Arial"/>
          <w:spacing w:val="-1"/>
          <w:position w:val="-1"/>
          <w:sz w:val="24"/>
          <w:szCs w:val="24"/>
        </w:rPr>
        <w:t>n</w:t>
      </w:r>
      <w:r w:rsidRPr="00C1069A">
        <w:rPr>
          <w:rFonts w:ascii="Arial" w:eastAsia="Calibri" w:hAnsi="Arial" w:cs="Arial"/>
          <w:position w:val="-1"/>
          <w:sz w:val="24"/>
          <w:szCs w:val="24"/>
        </w:rPr>
        <w:t xml:space="preserve">, </w:t>
      </w:r>
      <w:hyperlink r:id="rId25" w:tooltip="SolomonBJ@od.nih.gov" w:history="1">
        <w:r w:rsidRPr="00C1069A">
          <w:rPr>
            <w:rFonts w:ascii="Arial" w:eastAsia="Calibri" w:hAnsi="Arial" w:cs="Times New Roman"/>
            <w:color w:val="0563C1"/>
            <w:sz w:val="24"/>
            <w:u w:val="single"/>
          </w:rPr>
          <w:t>SolomonBJ@od.nih.gov</w:t>
        </w:r>
      </w:hyperlink>
      <w:r w:rsidRPr="00C1069A">
        <w:rPr>
          <w:rFonts w:ascii="Arial" w:eastAsia="Calibri" w:hAnsi="Arial" w:cs="Arial"/>
          <w:color w:val="0000FF"/>
          <w:position w:val="-1"/>
          <w:sz w:val="24"/>
          <w:szCs w:val="24"/>
        </w:rPr>
        <w:t>.</w:t>
      </w:r>
    </w:p>
    <w:p w14:paraId="7834AF52" w14:textId="1DD4408F" w:rsidR="00285777" w:rsidRDefault="00C1069A" w:rsidP="00556AD2">
      <w:pPr>
        <w:spacing w:line="240" w:lineRule="auto"/>
        <w:rPr>
          <w:sz w:val="40"/>
          <w:szCs w:val="40"/>
        </w:rPr>
      </w:pPr>
      <w:r w:rsidRPr="00C1069A">
        <w:rPr>
          <w:rFonts w:ascii="Arial" w:eastAsia="Calibri" w:hAnsi="Arial" w:cs="Arial"/>
          <w:sz w:val="24"/>
          <w:szCs w:val="24"/>
        </w:rPr>
        <w:t xml:space="preserve">If </w:t>
      </w:r>
      <w:r w:rsidRPr="00C1069A">
        <w:rPr>
          <w:rFonts w:ascii="Arial" w:eastAsia="Calibri" w:hAnsi="Arial" w:cs="Arial"/>
          <w:spacing w:val="-2"/>
          <w:sz w:val="24"/>
          <w:szCs w:val="24"/>
        </w:rPr>
        <w:t>y</w:t>
      </w:r>
      <w:r w:rsidRPr="00C1069A">
        <w:rPr>
          <w:rFonts w:ascii="Arial" w:eastAsia="Calibri" w:hAnsi="Arial" w:cs="Arial"/>
          <w:sz w:val="24"/>
          <w:szCs w:val="24"/>
        </w:rPr>
        <w:t>ou</w:t>
      </w:r>
      <w:r w:rsidRPr="00C1069A">
        <w:rPr>
          <w:rFonts w:ascii="Arial" w:eastAsia="Calibri" w:hAnsi="Arial" w:cs="Arial"/>
          <w:spacing w:val="2"/>
          <w:sz w:val="24"/>
          <w:szCs w:val="24"/>
        </w:rPr>
        <w:t xml:space="preserve"> </w:t>
      </w:r>
      <w:r w:rsidRPr="00C1069A">
        <w:rPr>
          <w:rFonts w:ascii="Arial" w:eastAsia="Calibri" w:hAnsi="Arial" w:cs="Arial"/>
          <w:sz w:val="24"/>
          <w:szCs w:val="24"/>
        </w:rPr>
        <w:t>ha</w:t>
      </w:r>
      <w:r w:rsidRPr="00C1069A">
        <w:rPr>
          <w:rFonts w:ascii="Arial" w:eastAsia="Calibri" w:hAnsi="Arial" w:cs="Arial"/>
          <w:spacing w:val="-2"/>
          <w:sz w:val="24"/>
          <w:szCs w:val="24"/>
        </w:rPr>
        <w:t>v</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a</w:t>
      </w:r>
      <w:r w:rsidRPr="00C1069A">
        <w:rPr>
          <w:rFonts w:ascii="Arial" w:eastAsia="Calibri" w:hAnsi="Arial" w:cs="Arial"/>
          <w:sz w:val="24"/>
          <w:szCs w:val="24"/>
        </w:rPr>
        <w:t>ny</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q</w:t>
      </w:r>
      <w:r w:rsidRPr="00C1069A">
        <w:rPr>
          <w:rFonts w:ascii="Arial" w:eastAsia="Calibri" w:hAnsi="Arial" w:cs="Arial"/>
          <w:sz w:val="24"/>
          <w:szCs w:val="24"/>
        </w:rPr>
        <w:t>uest</w:t>
      </w:r>
      <w:r w:rsidRPr="00C1069A">
        <w:rPr>
          <w:rFonts w:ascii="Arial" w:eastAsia="Calibri" w:hAnsi="Arial" w:cs="Arial"/>
          <w:spacing w:val="-1"/>
          <w:sz w:val="24"/>
          <w:szCs w:val="24"/>
        </w:rPr>
        <w:t>i</w:t>
      </w:r>
      <w:r w:rsidRPr="00C1069A">
        <w:rPr>
          <w:rFonts w:ascii="Arial" w:eastAsia="Calibri" w:hAnsi="Arial" w:cs="Arial"/>
          <w:sz w:val="24"/>
          <w:szCs w:val="24"/>
        </w:rPr>
        <w:t xml:space="preserve">ons or </w:t>
      </w:r>
      <w:r w:rsidRPr="00C1069A">
        <w:rPr>
          <w:rFonts w:ascii="Arial" w:eastAsia="Calibri" w:hAnsi="Arial" w:cs="Arial"/>
          <w:spacing w:val="-2"/>
          <w:sz w:val="24"/>
          <w:szCs w:val="24"/>
        </w:rPr>
        <w:t>c</w:t>
      </w:r>
      <w:r w:rsidRPr="00C1069A">
        <w:rPr>
          <w:rFonts w:ascii="Arial" w:eastAsia="Calibri" w:hAnsi="Arial" w:cs="Arial"/>
          <w:sz w:val="24"/>
          <w:szCs w:val="24"/>
        </w:rPr>
        <w:t>o</w:t>
      </w:r>
      <w:r w:rsidRPr="00C1069A">
        <w:rPr>
          <w:rFonts w:ascii="Arial" w:eastAsia="Calibri" w:hAnsi="Arial" w:cs="Arial"/>
          <w:spacing w:val="-1"/>
          <w:sz w:val="24"/>
          <w:szCs w:val="24"/>
        </w:rPr>
        <w:t>m</w:t>
      </w:r>
      <w:r w:rsidRPr="00C1069A">
        <w:rPr>
          <w:rFonts w:ascii="Arial" w:eastAsia="Calibri" w:hAnsi="Arial" w:cs="Arial"/>
          <w:spacing w:val="2"/>
          <w:sz w:val="24"/>
          <w:szCs w:val="24"/>
        </w:rPr>
        <w:t>m</w:t>
      </w:r>
      <w:r w:rsidRPr="00C1069A">
        <w:rPr>
          <w:rFonts w:ascii="Arial" w:eastAsia="Calibri" w:hAnsi="Arial" w:cs="Arial"/>
          <w:spacing w:val="-1"/>
          <w:sz w:val="24"/>
          <w:szCs w:val="24"/>
        </w:rPr>
        <w:t>e</w:t>
      </w:r>
      <w:r w:rsidRPr="00C1069A">
        <w:rPr>
          <w:rFonts w:ascii="Arial" w:eastAsia="Calibri" w:hAnsi="Arial" w:cs="Arial"/>
          <w:sz w:val="24"/>
          <w:szCs w:val="24"/>
        </w:rPr>
        <w:t xml:space="preserve">nts </w:t>
      </w:r>
      <w:r w:rsidRPr="00C1069A">
        <w:rPr>
          <w:rFonts w:ascii="Arial" w:eastAsia="Calibri" w:hAnsi="Arial" w:cs="Arial"/>
          <w:spacing w:val="-1"/>
          <w:sz w:val="24"/>
          <w:szCs w:val="24"/>
        </w:rPr>
        <w:t>r</w:t>
      </w:r>
      <w:r w:rsidRPr="00C1069A">
        <w:rPr>
          <w:rFonts w:ascii="Arial" w:eastAsia="Calibri" w:hAnsi="Arial" w:cs="Arial"/>
          <w:sz w:val="24"/>
          <w:szCs w:val="24"/>
        </w:rPr>
        <w:t>e</w:t>
      </w:r>
      <w:r w:rsidRPr="00C1069A">
        <w:rPr>
          <w:rFonts w:ascii="Arial" w:eastAsia="Calibri" w:hAnsi="Arial" w:cs="Arial"/>
          <w:spacing w:val="-2"/>
          <w:sz w:val="24"/>
          <w:szCs w:val="24"/>
        </w:rPr>
        <w:t>g</w:t>
      </w:r>
      <w:r w:rsidRPr="00C1069A">
        <w:rPr>
          <w:rFonts w:ascii="Arial" w:eastAsia="Calibri" w:hAnsi="Arial" w:cs="Arial"/>
          <w:spacing w:val="-1"/>
          <w:sz w:val="24"/>
          <w:szCs w:val="24"/>
        </w:rPr>
        <w:t>ar</w:t>
      </w:r>
      <w:r w:rsidRPr="00C1069A">
        <w:rPr>
          <w:rFonts w:ascii="Arial" w:eastAsia="Calibri" w:hAnsi="Arial" w:cs="Arial"/>
          <w:sz w:val="24"/>
          <w:szCs w:val="24"/>
        </w:rPr>
        <w:t>d</w:t>
      </w:r>
      <w:r w:rsidRPr="00C1069A">
        <w:rPr>
          <w:rFonts w:ascii="Arial" w:eastAsia="Calibri" w:hAnsi="Arial" w:cs="Arial"/>
          <w:spacing w:val="-1"/>
          <w:sz w:val="24"/>
          <w:szCs w:val="24"/>
        </w:rPr>
        <w:t>i</w:t>
      </w:r>
      <w:r w:rsidRPr="00C1069A">
        <w:rPr>
          <w:rFonts w:ascii="Arial" w:eastAsia="Calibri" w:hAnsi="Arial" w:cs="Arial"/>
          <w:sz w:val="24"/>
          <w:szCs w:val="24"/>
        </w:rPr>
        <w:t>ng</w:t>
      </w:r>
      <w:r w:rsidRPr="00C1069A">
        <w:rPr>
          <w:rFonts w:ascii="Arial" w:eastAsia="Calibri" w:hAnsi="Arial" w:cs="Arial"/>
          <w:spacing w:val="-1"/>
          <w:sz w:val="24"/>
          <w:szCs w:val="24"/>
        </w:rPr>
        <w:t xml:space="preserve"> </w:t>
      </w:r>
      <w:r w:rsidRPr="00C1069A">
        <w:rPr>
          <w:rFonts w:ascii="Arial" w:eastAsia="Calibri" w:hAnsi="Arial" w:cs="Arial"/>
          <w:sz w:val="24"/>
          <w:szCs w:val="24"/>
        </w:rPr>
        <w:t>the</w:t>
      </w:r>
      <w:r w:rsidRPr="00C1069A">
        <w:rPr>
          <w:rFonts w:ascii="Arial" w:eastAsia="Calibri" w:hAnsi="Arial" w:cs="Arial"/>
          <w:spacing w:val="2"/>
          <w:sz w:val="24"/>
          <w:szCs w:val="24"/>
        </w:rPr>
        <w:t xml:space="preserve"> </w:t>
      </w:r>
      <w:r w:rsidRPr="00C1069A">
        <w:rPr>
          <w:rFonts w:ascii="Arial" w:eastAsia="Calibri" w:hAnsi="Arial" w:cs="Arial"/>
          <w:spacing w:val="-1"/>
          <w:sz w:val="24"/>
          <w:szCs w:val="24"/>
        </w:rPr>
        <w:t>in</w:t>
      </w:r>
      <w:r w:rsidRPr="00C1069A">
        <w:rPr>
          <w:rFonts w:ascii="Arial" w:eastAsia="Calibri" w:hAnsi="Arial" w:cs="Arial"/>
          <w:sz w:val="24"/>
          <w:szCs w:val="24"/>
        </w:rPr>
        <w:t>fo</w:t>
      </w:r>
      <w:r w:rsidRPr="00C1069A">
        <w:rPr>
          <w:rFonts w:ascii="Arial" w:eastAsia="Calibri" w:hAnsi="Arial" w:cs="Arial"/>
          <w:spacing w:val="-1"/>
          <w:sz w:val="24"/>
          <w:szCs w:val="24"/>
        </w:rPr>
        <w:t>rm</w:t>
      </w:r>
      <w:r w:rsidRPr="00C1069A">
        <w:rPr>
          <w:rFonts w:ascii="Arial" w:eastAsia="Calibri" w:hAnsi="Arial" w:cs="Arial"/>
          <w:sz w:val="24"/>
          <w:szCs w:val="24"/>
        </w:rPr>
        <w:t>at</w:t>
      </w:r>
      <w:r w:rsidRPr="00C1069A">
        <w:rPr>
          <w:rFonts w:ascii="Arial" w:eastAsia="Calibri" w:hAnsi="Arial" w:cs="Arial"/>
          <w:spacing w:val="-1"/>
          <w:sz w:val="24"/>
          <w:szCs w:val="24"/>
        </w:rPr>
        <w:t>i</w:t>
      </w:r>
      <w:r w:rsidRPr="00C1069A">
        <w:rPr>
          <w:rFonts w:ascii="Arial" w:eastAsia="Calibri" w:hAnsi="Arial" w:cs="Arial"/>
          <w:sz w:val="24"/>
          <w:szCs w:val="24"/>
        </w:rPr>
        <w:t>o</w:t>
      </w:r>
      <w:r w:rsidRPr="00C1069A">
        <w:rPr>
          <w:rFonts w:ascii="Arial" w:eastAsia="Calibri" w:hAnsi="Arial" w:cs="Arial"/>
          <w:spacing w:val="-2"/>
          <w:sz w:val="24"/>
          <w:szCs w:val="24"/>
        </w:rPr>
        <w:t>n</w:t>
      </w:r>
      <w:r w:rsidRPr="00C1069A">
        <w:rPr>
          <w:rFonts w:ascii="Arial" w:eastAsia="Calibri" w:hAnsi="Arial" w:cs="Arial"/>
          <w:sz w:val="24"/>
          <w:szCs w:val="24"/>
        </w:rPr>
        <w:t xml:space="preserve">, </w:t>
      </w:r>
      <w:r w:rsidRPr="00C1069A">
        <w:rPr>
          <w:rFonts w:ascii="Arial" w:eastAsia="Calibri" w:hAnsi="Arial" w:cs="Arial"/>
          <w:spacing w:val="-1"/>
          <w:sz w:val="24"/>
          <w:szCs w:val="24"/>
        </w:rPr>
        <w:t>p</w:t>
      </w:r>
      <w:r w:rsidRPr="00C1069A">
        <w:rPr>
          <w:rFonts w:ascii="Arial" w:eastAsia="Calibri" w:hAnsi="Arial" w:cs="Arial"/>
          <w:sz w:val="24"/>
          <w:szCs w:val="24"/>
        </w:rPr>
        <w:t>o</w:t>
      </w:r>
      <w:r w:rsidRPr="00C1069A">
        <w:rPr>
          <w:rFonts w:ascii="Arial" w:eastAsia="Calibri" w:hAnsi="Arial" w:cs="Arial"/>
          <w:spacing w:val="-1"/>
          <w:sz w:val="24"/>
          <w:szCs w:val="24"/>
        </w:rPr>
        <w:t>li</w:t>
      </w:r>
      <w:r w:rsidRPr="00C1069A">
        <w:rPr>
          <w:rFonts w:ascii="Arial" w:eastAsia="Calibri" w:hAnsi="Arial" w:cs="Arial"/>
          <w:sz w:val="24"/>
          <w:szCs w:val="24"/>
        </w:rPr>
        <w:t>cy</w:t>
      </w:r>
      <w:r w:rsidRPr="00C1069A">
        <w:rPr>
          <w:rFonts w:ascii="Arial" w:eastAsia="Calibri" w:hAnsi="Arial" w:cs="Arial"/>
          <w:spacing w:val="-2"/>
          <w:sz w:val="24"/>
          <w:szCs w:val="24"/>
        </w:rPr>
        <w:t xml:space="preserve"> </w:t>
      </w:r>
      <w:r w:rsidRPr="00C1069A">
        <w:rPr>
          <w:rFonts w:ascii="Arial" w:eastAsia="Calibri" w:hAnsi="Arial" w:cs="Arial"/>
          <w:sz w:val="24"/>
          <w:szCs w:val="24"/>
        </w:rPr>
        <w:t>and/or p</w:t>
      </w:r>
      <w:r w:rsidRPr="00C1069A">
        <w:rPr>
          <w:rFonts w:ascii="Arial" w:eastAsia="Calibri" w:hAnsi="Arial" w:cs="Arial"/>
          <w:spacing w:val="-1"/>
          <w:sz w:val="24"/>
          <w:szCs w:val="24"/>
        </w:rPr>
        <w:t>r</w:t>
      </w:r>
      <w:r w:rsidRPr="00C1069A">
        <w:rPr>
          <w:rFonts w:ascii="Arial" w:eastAsia="Calibri" w:hAnsi="Arial" w:cs="Arial"/>
          <w:sz w:val="24"/>
          <w:szCs w:val="24"/>
        </w:rPr>
        <w:t>oce</w:t>
      </w:r>
      <w:r w:rsidRPr="00C1069A">
        <w:rPr>
          <w:rFonts w:ascii="Arial" w:eastAsia="Calibri" w:hAnsi="Arial" w:cs="Arial"/>
          <w:spacing w:val="-2"/>
          <w:sz w:val="24"/>
          <w:szCs w:val="24"/>
        </w:rPr>
        <w:t>d</w:t>
      </w:r>
      <w:r w:rsidRPr="00C1069A">
        <w:rPr>
          <w:rFonts w:ascii="Arial" w:eastAsia="Calibri" w:hAnsi="Arial" w:cs="Arial"/>
          <w:sz w:val="24"/>
          <w:szCs w:val="24"/>
        </w:rPr>
        <w:t>u</w:t>
      </w:r>
      <w:r w:rsidRPr="00C1069A">
        <w:rPr>
          <w:rFonts w:ascii="Arial" w:eastAsia="Calibri" w:hAnsi="Arial" w:cs="Arial"/>
          <w:spacing w:val="-1"/>
          <w:sz w:val="24"/>
          <w:szCs w:val="24"/>
        </w:rPr>
        <w:t>r</w:t>
      </w:r>
      <w:r w:rsidRPr="00C1069A">
        <w:rPr>
          <w:rFonts w:ascii="Arial" w:eastAsia="Calibri" w:hAnsi="Arial" w:cs="Arial"/>
          <w:sz w:val="24"/>
          <w:szCs w:val="24"/>
        </w:rPr>
        <w:t xml:space="preserve">es </w:t>
      </w:r>
      <w:r w:rsidRPr="00C1069A">
        <w:rPr>
          <w:rFonts w:ascii="Arial" w:eastAsia="Calibri" w:hAnsi="Arial" w:cs="Arial"/>
          <w:spacing w:val="-1"/>
          <w:sz w:val="24"/>
          <w:szCs w:val="24"/>
        </w:rPr>
        <w:t>p</w:t>
      </w:r>
      <w:r w:rsidRPr="00C1069A">
        <w:rPr>
          <w:rFonts w:ascii="Arial" w:eastAsia="Calibri" w:hAnsi="Arial" w:cs="Arial"/>
          <w:sz w:val="24"/>
          <w:szCs w:val="24"/>
        </w:rPr>
        <w:t>ub</w:t>
      </w:r>
      <w:r w:rsidRPr="00C1069A">
        <w:rPr>
          <w:rFonts w:ascii="Arial" w:eastAsia="Calibri" w:hAnsi="Arial" w:cs="Arial"/>
          <w:spacing w:val="-1"/>
          <w:sz w:val="24"/>
          <w:szCs w:val="24"/>
        </w:rPr>
        <w:t>li</w:t>
      </w:r>
      <w:r w:rsidRPr="00C1069A">
        <w:rPr>
          <w:rFonts w:ascii="Arial" w:eastAsia="Calibri" w:hAnsi="Arial" w:cs="Arial"/>
          <w:sz w:val="24"/>
          <w:szCs w:val="24"/>
        </w:rPr>
        <w:t>sh</w:t>
      </w:r>
      <w:r w:rsidRPr="00C1069A">
        <w:rPr>
          <w:rFonts w:ascii="Arial" w:eastAsia="Calibri" w:hAnsi="Arial" w:cs="Arial"/>
          <w:spacing w:val="-2"/>
          <w:sz w:val="24"/>
          <w:szCs w:val="24"/>
        </w:rPr>
        <w:t>e</w:t>
      </w:r>
      <w:r w:rsidRPr="00C1069A">
        <w:rPr>
          <w:rFonts w:ascii="Arial" w:eastAsia="Calibri" w:hAnsi="Arial" w:cs="Arial"/>
          <w:sz w:val="24"/>
          <w:szCs w:val="24"/>
        </w:rPr>
        <w:t>d</w:t>
      </w:r>
      <w:r w:rsidRPr="00C1069A">
        <w:rPr>
          <w:rFonts w:ascii="Arial" w:eastAsia="Calibri" w:hAnsi="Arial" w:cs="Arial"/>
          <w:spacing w:val="2"/>
          <w:sz w:val="24"/>
          <w:szCs w:val="24"/>
        </w:rPr>
        <w:t xml:space="preserve"> </w:t>
      </w:r>
      <w:r w:rsidRPr="00C1069A">
        <w:rPr>
          <w:rFonts w:ascii="Arial" w:eastAsia="Calibri" w:hAnsi="Arial" w:cs="Arial"/>
          <w:spacing w:val="-3"/>
          <w:sz w:val="24"/>
          <w:szCs w:val="24"/>
        </w:rPr>
        <w:t>i</w:t>
      </w:r>
      <w:r w:rsidRPr="00C1069A">
        <w:rPr>
          <w:rFonts w:ascii="Arial" w:eastAsia="Calibri" w:hAnsi="Arial" w:cs="Arial"/>
          <w:sz w:val="24"/>
          <w:szCs w:val="24"/>
        </w:rPr>
        <w:t>n</w:t>
      </w:r>
      <w:r w:rsidRPr="00C1069A">
        <w:rPr>
          <w:rFonts w:ascii="Arial" w:eastAsia="Calibri" w:hAnsi="Arial" w:cs="Arial"/>
          <w:spacing w:val="2"/>
          <w:sz w:val="24"/>
          <w:szCs w:val="24"/>
        </w:rPr>
        <w:t xml:space="preserve"> </w:t>
      </w:r>
      <w:r w:rsidRPr="00C1069A">
        <w:rPr>
          <w:rFonts w:ascii="Arial" w:eastAsia="Calibri" w:hAnsi="Arial" w:cs="Arial"/>
          <w:sz w:val="24"/>
          <w:szCs w:val="24"/>
        </w:rPr>
        <w:t>th</w:t>
      </w:r>
      <w:r w:rsidRPr="00C1069A">
        <w:rPr>
          <w:rFonts w:ascii="Arial" w:eastAsia="Calibri" w:hAnsi="Arial" w:cs="Arial"/>
          <w:spacing w:val="-1"/>
          <w:sz w:val="24"/>
          <w:szCs w:val="24"/>
        </w:rPr>
        <w:t>i</w:t>
      </w:r>
      <w:r w:rsidRPr="00C1069A">
        <w:rPr>
          <w:rFonts w:ascii="Arial" w:eastAsia="Calibri" w:hAnsi="Arial" w:cs="Arial"/>
          <w:sz w:val="24"/>
          <w:szCs w:val="24"/>
        </w:rPr>
        <w:t xml:space="preserve">s </w:t>
      </w:r>
      <w:r w:rsidRPr="00C1069A">
        <w:rPr>
          <w:rFonts w:ascii="Arial" w:eastAsia="Calibri" w:hAnsi="Arial" w:cs="Arial"/>
          <w:spacing w:val="-1"/>
          <w:sz w:val="24"/>
          <w:szCs w:val="24"/>
        </w:rPr>
        <w:t>i</w:t>
      </w:r>
      <w:r w:rsidRPr="00C1069A">
        <w:rPr>
          <w:rFonts w:ascii="Arial" w:eastAsia="Calibri" w:hAnsi="Arial" w:cs="Arial"/>
          <w:sz w:val="24"/>
          <w:szCs w:val="24"/>
        </w:rPr>
        <w:t>ss</w:t>
      </w:r>
      <w:r w:rsidRPr="00C1069A">
        <w:rPr>
          <w:rFonts w:ascii="Arial" w:eastAsia="Calibri" w:hAnsi="Arial" w:cs="Arial"/>
          <w:spacing w:val="-1"/>
          <w:sz w:val="24"/>
          <w:szCs w:val="24"/>
        </w:rPr>
        <w:t>u</w:t>
      </w:r>
      <w:r w:rsidRPr="00C1069A">
        <w:rPr>
          <w:rFonts w:ascii="Arial" w:eastAsia="Calibri" w:hAnsi="Arial" w:cs="Arial"/>
          <w:sz w:val="24"/>
          <w:szCs w:val="24"/>
        </w:rPr>
        <w:t xml:space="preserve">e, </w:t>
      </w:r>
      <w:r w:rsidRPr="00C1069A">
        <w:rPr>
          <w:rFonts w:ascii="Arial" w:eastAsia="Calibri" w:hAnsi="Arial" w:cs="Arial"/>
          <w:spacing w:val="-2"/>
          <w:sz w:val="24"/>
          <w:szCs w:val="24"/>
        </w:rPr>
        <w:t>y</w:t>
      </w:r>
      <w:r w:rsidRPr="00C1069A">
        <w:rPr>
          <w:rFonts w:ascii="Arial" w:eastAsia="Calibri" w:hAnsi="Arial" w:cs="Arial"/>
          <w:sz w:val="24"/>
          <w:szCs w:val="24"/>
        </w:rPr>
        <w:t>ou</w:t>
      </w:r>
      <w:r w:rsidRPr="00C1069A">
        <w:rPr>
          <w:rFonts w:ascii="Arial" w:eastAsia="Calibri" w:hAnsi="Arial" w:cs="Arial"/>
          <w:spacing w:val="-1"/>
          <w:sz w:val="24"/>
          <w:szCs w:val="24"/>
        </w:rPr>
        <w:t xml:space="preserve"> </w:t>
      </w:r>
      <w:r w:rsidRPr="00C1069A">
        <w:rPr>
          <w:rFonts w:ascii="Arial" w:eastAsia="Calibri" w:hAnsi="Arial" w:cs="Arial"/>
          <w:spacing w:val="2"/>
          <w:sz w:val="24"/>
          <w:szCs w:val="24"/>
        </w:rPr>
        <w:t>m</w:t>
      </w:r>
      <w:r w:rsidRPr="00C1069A">
        <w:rPr>
          <w:rFonts w:ascii="Arial" w:eastAsia="Calibri" w:hAnsi="Arial" w:cs="Arial"/>
          <w:sz w:val="24"/>
          <w:szCs w:val="24"/>
        </w:rPr>
        <w:t>ay</w:t>
      </w:r>
      <w:r w:rsidRPr="00C1069A">
        <w:rPr>
          <w:rFonts w:ascii="Arial" w:eastAsia="Calibri" w:hAnsi="Arial" w:cs="Arial"/>
          <w:spacing w:val="-2"/>
          <w:sz w:val="24"/>
          <w:szCs w:val="24"/>
        </w:rPr>
        <w:t xml:space="preserve"> </w:t>
      </w:r>
      <w:r w:rsidRPr="00C1069A">
        <w:rPr>
          <w:rFonts w:ascii="Arial" w:eastAsia="Calibri" w:hAnsi="Arial" w:cs="Arial"/>
          <w:sz w:val="24"/>
          <w:szCs w:val="24"/>
        </w:rPr>
        <w:t>conta</w:t>
      </w:r>
      <w:r w:rsidRPr="00C1069A">
        <w:rPr>
          <w:rFonts w:ascii="Arial" w:eastAsia="Calibri" w:hAnsi="Arial" w:cs="Arial"/>
          <w:spacing w:val="-2"/>
          <w:sz w:val="24"/>
          <w:szCs w:val="24"/>
        </w:rPr>
        <w:t>c</w:t>
      </w:r>
      <w:r w:rsidRPr="00C1069A">
        <w:rPr>
          <w:rFonts w:ascii="Arial" w:eastAsia="Calibri" w:hAnsi="Arial" w:cs="Arial"/>
          <w:sz w:val="24"/>
          <w:szCs w:val="24"/>
        </w:rPr>
        <w:t xml:space="preserve">t </w:t>
      </w:r>
      <w:r>
        <w:rPr>
          <w:rFonts w:ascii="Arial" w:eastAsia="Calibri" w:hAnsi="Arial" w:cs="Arial"/>
          <w:sz w:val="24"/>
          <w:szCs w:val="24"/>
        </w:rPr>
        <w:t xml:space="preserve">Milton Nicholas </w:t>
      </w:r>
      <w:r w:rsidRPr="00C1069A">
        <w:rPr>
          <w:rFonts w:ascii="Arial" w:eastAsia="Calibri" w:hAnsi="Arial" w:cs="Arial"/>
          <w:sz w:val="24"/>
          <w:szCs w:val="24"/>
        </w:rPr>
        <w:t>at t</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z w:val="24"/>
          <w:szCs w:val="24"/>
        </w:rPr>
        <w:t>e</w:t>
      </w:r>
      <w:r w:rsidRPr="00C1069A">
        <w:rPr>
          <w:rFonts w:ascii="Arial" w:eastAsia="Calibri" w:hAnsi="Arial" w:cs="Arial"/>
          <w:spacing w:val="-3"/>
          <w:sz w:val="24"/>
          <w:szCs w:val="24"/>
        </w:rPr>
        <w:t>-</w:t>
      </w:r>
      <w:r w:rsidRPr="00C1069A">
        <w:rPr>
          <w:rFonts w:ascii="Arial" w:eastAsia="Calibri" w:hAnsi="Arial" w:cs="Arial"/>
          <w:spacing w:val="2"/>
          <w:sz w:val="24"/>
          <w:szCs w:val="24"/>
        </w:rPr>
        <w:t>m</w:t>
      </w:r>
      <w:r w:rsidRPr="00C1069A">
        <w:rPr>
          <w:rFonts w:ascii="Arial" w:eastAsia="Calibri" w:hAnsi="Arial" w:cs="Arial"/>
          <w:sz w:val="24"/>
          <w:szCs w:val="24"/>
        </w:rPr>
        <w:t>ail add</w:t>
      </w:r>
      <w:r w:rsidRPr="00C1069A">
        <w:rPr>
          <w:rFonts w:ascii="Arial" w:eastAsia="Calibri" w:hAnsi="Arial" w:cs="Arial"/>
          <w:spacing w:val="-1"/>
          <w:sz w:val="24"/>
          <w:szCs w:val="24"/>
        </w:rPr>
        <w:t>r</w:t>
      </w:r>
      <w:r w:rsidRPr="00C1069A">
        <w:rPr>
          <w:rFonts w:ascii="Arial" w:eastAsia="Calibri" w:hAnsi="Arial" w:cs="Arial"/>
          <w:sz w:val="24"/>
          <w:szCs w:val="24"/>
        </w:rPr>
        <w:t>ess</w:t>
      </w:r>
      <w:r w:rsidRPr="00C1069A">
        <w:rPr>
          <w:rFonts w:ascii="Arial" w:eastAsia="Calibri" w:hAnsi="Arial" w:cs="Arial"/>
          <w:spacing w:val="-2"/>
          <w:sz w:val="24"/>
          <w:szCs w:val="24"/>
        </w:rPr>
        <w:t xml:space="preserve"> </w:t>
      </w:r>
      <w:r w:rsidRPr="00C1069A">
        <w:rPr>
          <w:rFonts w:ascii="Arial" w:eastAsia="Calibri" w:hAnsi="Arial" w:cs="Arial"/>
          <w:sz w:val="24"/>
          <w:szCs w:val="24"/>
        </w:rPr>
        <w:t>a</w:t>
      </w:r>
      <w:r w:rsidRPr="00C1069A">
        <w:rPr>
          <w:rFonts w:ascii="Arial" w:eastAsia="Calibri" w:hAnsi="Arial" w:cs="Arial"/>
          <w:spacing w:val="-2"/>
          <w:sz w:val="24"/>
          <w:szCs w:val="24"/>
        </w:rPr>
        <w:t>b</w:t>
      </w:r>
      <w:r w:rsidRPr="00C1069A">
        <w:rPr>
          <w:rFonts w:ascii="Arial" w:eastAsia="Calibri" w:hAnsi="Arial" w:cs="Arial"/>
          <w:sz w:val="24"/>
          <w:szCs w:val="24"/>
        </w:rPr>
        <w:t>o</w:t>
      </w:r>
      <w:r w:rsidRPr="00C1069A">
        <w:rPr>
          <w:rFonts w:ascii="Arial" w:eastAsia="Calibri" w:hAnsi="Arial" w:cs="Arial"/>
          <w:spacing w:val="-2"/>
          <w:sz w:val="24"/>
          <w:szCs w:val="24"/>
        </w:rPr>
        <w:t>v</w:t>
      </w:r>
      <w:r w:rsidRPr="00C1069A">
        <w:rPr>
          <w:rFonts w:ascii="Arial" w:eastAsia="Calibri" w:hAnsi="Arial" w:cs="Arial"/>
          <w:sz w:val="24"/>
          <w:szCs w:val="24"/>
        </w:rPr>
        <w:t>e. For</w:t>
      </w:r>
      <w:r w:rsidRPr="00C1069A">
        <w:rPr>
          <w:rFonts w:ascii="Arial" w:eastAsia="Calibri" w:hAnsi="Arial" w:cs="Arial"/>
          <w:spacing w:val="-2"/>
          <w:sz w:val="24"/>
          <w:szCs w:val="24"/>
        </w:rPr>
        <w:t xml:space="preserve"> </w:t>
      </w:r>
      <w:r w:rsidRPr="00C1069A">
        <w:rPr>
          <w:rFonts w:ascii="Arial" w:eastAsia="Calibri" w:hAnsi="Arial" w:cs="Arial"/>
          <w:spacing w:val="3"/>
          <w:sz w:val="24"/>
          <w:szCs w:val="24"/>
        </w:rPr>
        <w:t>f</w:t>
      </w:r>
      <w:r w:rsidRPr="00C1069A">
        <w:rPr>
          <w:rFonts w:ascii="Arial" w:eastAsia="Calibri" w:hAnsi="Arial" w:cs="Arial"/>
          <w:spacing w:val="-1"/>
          <w:sz w:val="24"/>
          <w:szCs w:val="24"/>
        </w:rPr>
        <w:t>u</w:t>
      </w:r>
      <w:r w:rsidRPr="00C1069A">
        <w:rPr>
          <w:rFonts w:ascii="Arial" w:eastAsia="Calibri" w:hAnsi="Arial" w:cs="Arial"/>
          <w:sz w:val="24"/>
          <w:szCs w:val="24"/>
        </w:rPr>
        <w:t>tu</w:t>
      </w:r>
      <w:r w:rsidRPr="00C1069A">
        <w:rPr>
          <w:rFonts w:ascii="Arial" w:eastAsia="Calibri" w:hAnsi="Arial" w:cs="Arial"/>
          <w:spacing w:val="-1"/>
          <w:sz w:val="24"/>
          <w:szCs w:val="24"/>
        </w:rPr>
        <w:t>r</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002743A6">
        <w:rPr>
          <w:rFonts w:ascii="Arial" w:eastAsia="Calibri" w:hAnsi="Arial" w:cs="Arial"/>
          <w:spacing w:val="-1"/>
          <w:sz w:val="24"/>
          <w:szCs w:val="24"/>
        </w:rPr>
        <w:t>editions or comments</w:t>
      </w:r>
      <w:r w:rsidRPr="00C1069A">
        <w:rPr>
          <w:rFonts w:ascii="Arial" w:eastAsia="Calibri" w:hAnsi="Arial" w:cs="Arial"/>
          <w:spacing w:val="-2"/>
          <w:sz w:val="24"/>
          <w:szCs w:val="24"/>
        </w:rPr>
        <w:t xml:space="preserve"> </w:t>
      </w:r>
      <w:r w:rsidRPr="00C1069A">
        <w:rPr>
          <w:rFonts w:ascii="Arial" w:eastAsia="Calibri" w:hAnsi="Arial" w:cs="Arial"/>
          <w:sz w:val="24"/>
          <w:szCs w:val="24"/>
        </w:rPr>
        <w:t>p</w:t>
      </w:r>
      <w:r w:rsidRPr="00C1069A">
        <w:rPr>
          <w:rFonts w:ascii="Arial" w:eastAsia="Calibri" w:hAnsi="Arial" w:cs="Arial"/>
          <w:spacing w:val="-1"/>
          <w:sz w:val="24"/>
          <w:szCs w:val="24"/>
        </w:rPr>
        <w:t>le</w:t>
      </w:r>
      <w:r w:rsidRPr="00C1069A">
        <w:rPr>
          <w:rFonts w:ascii="Arial" w:eastAsia="Calibri" w:hAnsi="Arial" w:cs="Arial"/>
          <w:sz w:val="24"/>
          <w:szCs w:val="24"/>
        </w:rPr>
        <w:t>ase</w:t>
      </w:r>
      <w:r w:rsidRPr="00C1069A">
        <w:rPr>
          <w:rFonts w:ascii="Arial" w:eastAsia="Calibri" w:hAnsi="Arial" w:cs="Arial"/>
          <w:spacing w:val="2"/>
          <w:sz w:val="24"/>
          <w:szCs w:val="24"/>
        </w:rPr>
        <w:t xml:space="preserve"> </w:t>
      </w:r>
      <w:r w:rsidRPr="00C1069A">
        <w:rPr>
          <w:rFonts w:ascii="Arial" w:eastAsia="Calibri" w:hAnsi="Arial" w:cs="Arial"/>
          <w:spacing w:val="-2"/>
          <w:sz w:val="24"/>
          <w:szCs w:val="24"/>
        </w:rPr>
        <w:t>c</w:t>
      </w:r>
      <w:r w:rsidRPr="00C1069A">
        <w:rPr>
          <w:rFonts w:ascii="Arial" w:eastAsia="Calibri" w:hAnsi="Arial" w:cs="Arial"/>
          <w:sz w:val="24"/>
          <w:szCs w:val="24"/>
        </w:rPr>
        <w:t>on</w:t>
      </w:r>
      <w:r w:rsidRPr="00C1069A">
        <w:rPr>
          <w:rFonts w:ascii="Arial" w:eastAsia="Calibri" w:hAnsi="Arial" w:cs="Arial"/>
          <w:spacing w:val="-2"/>
          <w:sz w:val="24"/>
          <w:szCs w:val="24"/>
        </w:rPr>
        <w:t>t</w:t>
      </w:r>
      <w:r w:rsidRPr="00C1069A">
        <w:rPr>
          <w:rFonts w:ascii="Arial" w:eastAsia="Calibri" w:hAnsi="Arial" w:cs="Arial"/>
          <w:sz w:val="24"/>
          <w:szCs w:val="24"/>
        </w:rPr>
        <w:t>act t</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2"/>
          <w:sz w:val="24"/>
          <w:szCs w:val="24"/>
        </w:rPr>
        <w:t xml:space="preserve"> </w:t>
      </w:r>
      <w:r w:rsidRPr="00C1069A">
        <w:rPr>
          <w:rFonts w:ascii="Arial" w:eastAsia="Calibri" w:hAnsi="Arial" w:cs="Arial"/>
          <w:sz w:val="24"/>
          <w:szCs w:val="24"/>
        </w:rPr>
        <w:t>S</w:t>
      </w:r>
      <w:r w:rsidRPr="00C1069A">
        <w:rPr>
          <w:rFonts w:ascii="Arial" w:eastAsia="Calibri" w:hAnsi="Arial" w:cs="Arial"/>
          <w:spacing w:val="-3"/>
          <w:sz w:val="24"/>
          <w:szCs w:val="24"/>
        </w:rPr>
        <w:t>i</w:t>
      </w:r>
      <w:r w:rsidRPr="00C1069A">
        <w:rPr>
          <w:rFonts w:ascii="Arial" w:eastAsia="Calibri" w:hAnsi="Arial" w:cs="Arial"/>
          <w:spacing w:val="2"/>
          <w:sz w:val="24"/>
          <w:szCs w:val="24"/>
        </w:rPr>
        <w:t>m</w:t>
      </w:r>
      <w:r w:rsidRPr="00C1069A">
        <w:rPr>
          <w:rFonts w:ascii="Arial" w:eastAsia="Calibri" w:hAnsi="Arial" w:cs="Arial"/>
          <w:sz w:val="24"/>
          <w:szCs w:val="24"/>
        </w:rPr>
        <w:t>p</w:t>
      </w:r>
      <w:r w:rsidRPr="00C1069A">
        <w:rPr>
          <w:rFonts w:ascii="Arial" w:eastAsia="Calibri" w:hAnsi="Arial" w:cs="Arial"/>
          <w:spacing w:val="-1"/>
          <w:sz w:val="24"/>
          <w:szCs w:val="24"/>
        </w:rPr>
        <w:t>l</w:t>
      </w:r>
      <w:r w:rsidRPr="00C1069A">
        <w:rPr>
          <w:rFonts w:ascii="Arial" w:eastAsia="Calibri" w:hAnsi="Arial" w:cs="Arial"/>
          <w:spacing w:val="-3"/>
          <w:sz w:val="24"/>
          <w:szCs w:val="24"/>
        </w:rPr>
        <w:t>i</w:t>
      </w:r>
      <w:r w:rsidRPr="00C1069A">
        <w:rPr>
          <w:rFonts w:ascii="Arial" w:eastAsia="Calibri" w:hAnsi="Arial" w:cs="Arial"/>
          <w:spacing w:val="3"/>
          <w:sz w:val="24"/>
          <w:szCs w:val="24"/>
        </w:rPr>
        <w:t>f</w:t>
      </w:r>
      <w:r w:rsidRPr="00C1069A">
        <w:rPr>
          <w:rFonts w:ascii="Arial" w:eastAsia="Calibri" w:hAnsi="Arial" w:cs="Arial"/>
          <w:spacing w:val="-1"/>
          <w:sz w:val="24"/>
          <w:szCs w:val="24"/>
        </w:rPr>
        <w:t>i</w:t>
      </w:r>
      <w:r w:rsidRPr="00C1069A">
        <w:rPr>
          <w:rFonts w:ascii="Arial" w:eastAsia="Calibri" w:hAnsi="Arial" w:cs="Arial"/>
          <w:sz w:val="24"/>
          <w:szCs w:val="24"/>
        </w:rPr>
        <w:t>ed</w:t>
      </w:r>
      <w:r w:rsidRPr="00C1069A">
        <w:rPr>
          <w:rFonts w:ascii="Arial" w:eastAsia="Calibri" w:hAnsi="Arial" w:cs="Arial"/>
          <w:spacing w:val="-1"/>
          <w:sz w:val="24"/>
          <w:szCs w:val="24"/>
        </w:rPr>
        <w:t xml:space="preserve"> </w:t>
      </w:r>
      <w:r w:rsidRPr="00C1069A">
        <w:rPr>
          <w:rFonts w:ascii="Arial" w:eastAsia="Calibri" w:hAnsi="Arial" w:cs="Arial"/>
          <w:sz w:val="24"/>
          <w:szCs w:val="24"/>
        </w:rPr>
        <w:t>Ac</w:t>
      </w:r>
      <w:r w:rsidRPr="00C1069A">
        <w:rPr>
          <w:rFonts w:ascii="Arial" w:eastAsia="Calibri" w:hAnsi="Arial" w:cs="Arial"/>
          <w:spacing w:val="-1"/>
          <w:sz w:val="24"/>
          <w:szCs w:val="24"/>
        </w:rPr>
        <w:t>qui</w:t>
      </w:r>
      <w:r w:rsidRPr="00C1069A">
        <w:rPr>
          <w:rFonts w:ascii="Arial" w:eastAsia="Calibri" w:hAnsi="Arial" w:cs="Arial"/>
          <w:sz w:val="24"/>
          <w:szCs w:val="24"/>
        </w:rPr>
        <w:t>s</w:t>
      </w:r>
      <w:r w:rsidRPr="00C1069A">
        <w:rPr>
          <w:rFonts w:ascii="Arial" w:eastAsia="Calibri" w:hAnsi="Arial" w:cs="Arial"/>
          <w:spacing w:val="-1"/>
          <w:sz w:val="24"/>
          <w:szCs w:val="24"/>
        </w:rPr>
        <w:t>i</w:t>
      </w:r>
      <w:r w:rsidRPr="00C1069A">
        <w:rPr>
          <w:rFonts w:ascii="Arial" w:eastAsia="Calibri" w:hAnsi="Arial" w:cs="Arial"/>
          <w:sz w:val="24"/>
          <w:szCs w:val="24"/>
        </w:rPr>
        <w:t>t</w:t>
      </w:r>
      <w:r w:rsidRPr="00C1069A">
        <w:rPr>
          <w:rFonts w:ascii="Arial" w:eastAsia="Calibri" w:hAnsi="Arial" w:cs="Arial"/>
          <w:spacing w:val="-1"/>
          <w:sz w:val="24"/>
          <w:szCs w:val="24"/>
        </w:rPr>
        <w:t>i</w:t>
      </w:r>
      <w:r w:rsidRPr="00C1069A">
        <w:rPr>
          <w:rFonts w:ascii="Arial" w:eastAsia="Calibri" w:hAnsi="Arial" w:cs="Arial"/>
          <w:sz w:val="24"/>
          <w:szCs w:val="24"/>
        </w:rPr>
        <w:t xml:space="preserve">ons </w:t>
      </w:r>
      <w:r w:rsidRPr="00C1069A">
        <w:rPr>
          <w:rFonts w:ascii="Arial" w:eastAsia="Calibri" w:hAnsi="Arial" w:cs="Arial"/>
          <w:spacing w:val="-1"/>
          <w:sz w:val="24"/>
          <w:szCs w:val="24"/>
        </w:rPr>
        <w:t>H</w:t>
      </w:r>
      <w:r w:rsidRPr="00C1069A">
        <w:rPr>
          <w:rFonts w:ascii="Arial" w:eastAsia="Calibri" w:hAnsi="Arial" w:cs="Arial"/>
          <w:sz w:val="24"/>
          <w:szCs w:val="24"/>
        </w:rPr>
        <w:t>e</w:t>
      </w:r>
      <w:r w:rsidRPr="00C1069A">
        <w:rPr>
          <w:rFonts w:ascii="Arial" w:eastAsia="Calibri" w:hAnsi="Arial" w:cs="Arial"/>
          <w:spacing w:val="-1"/>
          <w:sz w:val="24"/>
          <w:szCs w:val="24"/>
        </w:rPr>
        <w:t>l</w:t>
      </w:r>
      <w:r w:rsidRPr="00C1069A">
        <w:rPr>
          <w:rFonts w:ascii="Arial" w:eastAsia="Calibri" w:hAnsi="Arial" w:cs="Arial"/>
          <w:sz w:val="24"/>
          <w:szCs w:val="24"/>
        </w:rPr>
        <w:t>p</w:t>
      </w:r>
      <w:r w:rsidRPr="00C1069A">
        <w:rPr>
          <w:rFonts w:ascii="Arial" w:eastAsia="Calibri" w:hAnsi="Arial" w:cs="Arial"/>
          <w:spacing w:val="-1"/>
          <w:sz w:val="24"/>
          <w:szCs w:val="24"/>
        </w:rPr>
        <w:t>li</w:t>
      </w:r>
      <w:r w:rsidRPr="00C1069A">
        <w:rPr>
          <w:rFonts w:ascii="Arial" w:eastAsia="Calibri" w:hAnsi="Arial" w:cs="Arial"/>
          <w:sz w:val="24"/>
          <w:szCs w:val="24"/>
        </w:rPr>
        <w:t>ne</w:t>
      </w:r>
      <w:r w:rsidRPr="00C1069A">
        <w:rPr>
          <w:rFonts w:ascii="Arial" w:eastAsia="Calibri" w:hAnsi="Arial" w:cs="Arial"/>
          <w:spacing w:val="-1"/>
          <w:sz w:val="24"/>
          <w:szCs w:val="24"/>
        </w:rPr>
        <w:t xml:space="preserve"> </w:t>
      </w:r>
      <w:r w:rsidRPr="00C1069A">
        <w:rPr>
          <w:rFonts w:ascii="Arial" w:eastAsia="Calibri" w:hAnsi="Arial" w:cs="Arial"/>
          <w:sz w:val="24"/>
          <w:szCs w:val="24"/>
        </w:rPr>
        <w:t>on 301</w:t>
      </w:r>
      <w:r w:rsidRPr="00C1069A">
        <w:rPr>
          <w:rFonts w:ascii="Arial" w:eastAsia="Calibri" w:hAnsi="Arial" w:cs="Arial"/>
          <w:spacing w:val="-1"/>
          <w:sz w:val="24"/>
          <w:szCs w:val="24"/>
        </w:rPr>
        <w:t>-4</w:t>
      </w:r>
      <w:r w:rsidRPr="00C1069A">
        <w:rPr>
          <w:rFonts w:ascii="Arial" w:eastAsia="Calibri" w:hAnsi="Arial" w:cs="Arial"/>
          <w:sz w:val="24"/>
          <w:szCs w:val="24"/>
        </w:rPr>
        <w:t>96</w:t>
      </w:r>
      <w:r w:rsidRPr="00C1069A">
        <w:rPr>
          <w:rFonts w:ascii="Arial" w:eastAsia="Calibri" w:hAnsi="Arial" w:cs="Arial"/>
          <w:spacing w:val="-1"/>
          <w:sz w:val="24"/>
          <w:szCs w:val="24"/>
        </w:rPr>
        <w:t>-</w:t>
      </w:r>
      <w:r w:rsidRPr="00C1069A">
        <w:rPr>
          <w:rFonts w:ascii="Arial" w:eastAsia="Calibri" w:hAnsi="Arial" w:cs="Arial"/>
          <w:sz w:val="24"/>
          <w:szCs w:val="24"/>
        </w:rPr>
        <w:t>0</w:t>
      </w:r>
      <w:r w:rsidRPr="00C1069A">
        <w:rPr>
          <w:rFonts w:ascii="Arial" w:eastAsia="Calibri" w:hAnsi="Arial" w:cs="Arial"/>
          <w:spacing w:val="-2"/>
          <w:sz w:val="24"/>
          <w:szCs w:val="24"/>
        </w:rPr>
        <w:t>4</w:t>
      </w:r>
      <w:r w:rsidRPr="00C1069A">
        <w:rPr>
          <w:rFonts w:ascii="Arial" w:eastAsia="Calibri" w:hAnsi="Arial" w:cs="Arial"/>
          <w:sz w:val="24"/>
          <w:szCs w:val="24"/>
        </w:rPr>
        <w:t>00</w:t>
      </w:r>
      <w:r w:rsidRPr="00C1069A">
        <w:rPr>
          <w:rFonts w:ascii="Arial" w:eastAsia="Calibri" w:hAnsi="Arial" w:cs="Arial"/>
          <w:spacing w:val="-1"/>
          <w:sz w:val="24"/>
          <w:szCs w:val="24"/>
        </w:rPr>
        <w:t xml:space="preserve"> </w:t>
      </w:r>
      <w:r w:rsidRPr="00C1069A">
        <w:rPr>
          <w:rFonts w:ascii="Arial" w:eastAsia="Calibri" w:hAnsi="Arial" w:cs="Arial"/>
          <w:sz w:val="24"/>
          <w:szCs w:val="24"/>
        </w:rPr>
        <w:t xml:space="preserve">or </w:t>
      </w:r>
      <w:r w:rsidRPr="00C1069A">
        <w:rPr>
          <w:rFonts w:ascii="Arial" w:eastAsia="Calibri" w:hAnsi="Arial" w:cs="Arial"/>
          <w:spacing w:val="-2"/>
          <w:sz w:val="24"/>
          <w:szCs w:val="24"/>
        </w:rPr>
        <w:t>v</w:t>
      </w:r>
      <w:r w:rsidRPr="00C1069A">
        <w:rPr>
          <w:rFonts w:ascii="Arial" w:eastAsia="Calibri" w:hAnsi="Arial" w:cs="Arial"/>
          <w:spacing w:val="-1"/>
          <w:sz w:val="24"/>
          <w:szCs w:val="24"/>
        </w:rPr>
        <w:t>i</w:t>
      </w:r>
      <w:r w:rsidRPr="00C1069A">
        <w:rPr>
          <w:rFonts w:ascii="Arial" w:eastAsia="Calibri" w:hAnsi="Arial" w:cs="Arial"/>
          <w:sz w:val="24"/>
          <w:szCs w:val="24"/>
        </w:rPr>
        <w:t>a</w:t>
      </w:r>
      <w:r w:rsidRPr="00C1069A">
        <w:rPr>
          <w:rFonts w:ascii="Arial" w:eastAsia="Calibri" w:hAnsi="Arial" w:cs="Arial"/>
          <w:spacing w:val="2"/>
          <w:sz w:val="24"/>
          <w:szCs w:val="24"/>
        </w:rPr>
        <w:t xml:space="preserve"> </w:t>
      </w:r>
      <w:r w:rsidRPr="00C1069A">
        <w:rPr>
          <w:rFonts w:ascii="Arial" w:eastAsia="Calibri" w:hAnsi="Arial" w:cs="Arial"/>
          <w:sz w:val="24"/>
          <w:szCs w:val="24"/>
        </w:rPr>
        <w:t>e</w:t>
      </w:r>
      <w:r w:rsidRPr="00C1069A">
        <w:rPr>
          <w:rFonts w:ascii="Arial" w:eastAsia="Calibri" w:hAnsi="Arial" w:cs="Arial"/>
          <w:spacing w:val="-1"/>
          <w:sz w:val="24"/>
          <w:szCs w:val="24"/>
        </w:rPr>
        <w:t>-</w:t>
      </w:r>
      <w:r w:rsidRPr="00C1069A">
        <w:rPr>
          <w:rFonts w:ascii="Arial" w:eastAsia="Calibri" w:hAnsi="Arial" w:cs="Arial"/>
          <w:spacing w:val="2"/>
          <w:sz w:val="24"/>
          <w:szCs w:val="24"/>
        </w:rPr>
        <w:t>m</w:t>
      </w:r>
      <w:r w:rsidRPr="00C1069A">
        <w:rPr>
          <w:rFonts w:ascii="Arial" w:eastAsia="Calibri" w:hAnsi="Arial" w:cs="Arial"/>
          <w:sz w:val="24"/>
          <w:szCs w:val="24"/>
        </w:rPr>
        <w:t xml:space="preserve">ail at </w:t>
      </w:r>
      <w:hyperlink r:id="rId26" w:tooltip="OALMnewsletter@mail.nih.gov" w:history="1">
        <w:r w:rsidRPr="00C1069A">
          <w:rPr>
            <w:rFonts w:ascii="Arial" w:eastAsia="Calibri" w:hAnsi="Arial" w:cs="Arial"/>
            <w:color w:val="0563C1"/>
            <w:sz w:val="24"/>
            <w:szCs w:val="24"/>
            <w:u w:val="single"/>
          </w:rPr>
          <w:t>OALMnewsletter@mail.nih.gov</w:t>
        </w:r>
      </w:hyperlink>
      <w:hyperlink>
        <w:r w:rsidRPr="00C1069A">
          <w:rPr>
            <w:rFonts w:ascii="Arial" w:eastAsia="Calibri" w:hAnsi="Arial" w:cs="Arial"/>
            <w:color w:val="000000"/>
            <w:sz w:val="24"/>
            <w:szCs w:val="24"/>
          </w:rPr>
          <w:t xml:space="preserve"> and</w:t>
        </w:r>
        <w:r w:rsidRPr="00C1069A">
          <w:rPr>
            <w:rFonts w:ascii="Arial" w:eastAsia="Calibri" w:hAnsi="Arial" w:cs="Arial"/>
            <w:color w:val="000000"/>
            <w:spacing w:val="-1"/>
            <w:sz w:val="24"/>
            <w:szCs w:val="24"/>
          </w:rPr>
          <w:t xml:space="preserve"> </w:t>
        </w:r>
        <w:r w:rsidRPr="00C1069A">
          <w:rPr>
            <w:rFonts w:ascii="Arial" w:eastAsia="Calibri" w:hAnsi="Arial" w:cs="Arial"/>
            <w:color w:val="000000"/>
            <w:spacing w:val="-2"/>
            <w:sz w:val="24"/>
            <w:szCs w:val="24"/>
          </w:rPr>
          <w:t>y</w:t>
        </w:r>
        <w:r w:rsidRPr="00C1069A">
          <w:rPr>
            <w:rFonts w:ascii="Arial" w:eastAsia="Calibri" w:hAnsi="Arial" w:cs="Arial"/>
            <w:color w:val="000000"/>
            <w:sz w:val="24"/>
            <w:szCs w:val="24"/>
          </w:rPr>
          <w:t>ou</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3"/>
            <w:sz w:val="24"/>
            <w:szCs w:val="24"/>
          </w:rPr>
          <w:t>w</w:t>
        </w:r>
        <w:r w:rsidRPr="00C1069A">
          <w:rPr>
            <w:rFonts w:ascii="Arial" w:eastAsia="Calibri" w:hAnsi="Arial" w:cs="Arial"/>
            <w:color w:val="000000"/>
            <w:spacing w:val="-1"/>
            <w:sz w:val="24"/>
            <w:szCs w:val="24"/>
          </w:rPr>
          <w:t>il</w:t>
        </w:r>
        <w:r w:rsidRPr="00C1069A">
          <w:rPr>
            <w:rFonts w:ascii="Arial" w:eastAsia="Calibri" w:hAnsi="Arial" w:cs="Arial"/>
            <w:color w:val="000000"/>
            <w:sz w:val="24"/>
            <w:szCs w:val="24"/>
          </w:rPr>
          <w:t xml:space="preserve">l be </w:t>
        </w:r>
        <w:r w:rsidRPr="00C1069A">
          <w:rPr>
            <w:rFonts w:ascii="Arial" w:eastAsia="Calibri" w:hAnsi="Arial" w:cs="Arial"/>
            <w:color w:val="000000"/>
            <w:spacing w:val="-1"/>
            <w:sz w:val="24"/>
            <w:szCs w:val="24"/>
          </w:rPr>
          <w:t>r</w:t>
        </w:r>
        <w:r w:rsidRPr="00C1069A">
          <w:rPr>
            <w:rFonts w:ascii="Arial" w:eastAsia="Calibri" w:hAnsi="Arial" w:cs="Arial"/>
            <w:color w:val="000000"/>
            <w:sz w:val="24"/>
            <w:szCs w:val="24"/>
          </w:rPr>
          <w:t>efe</w:t>
        </w:r>
        <w:r w:rsidRPr="00C1069A">
          <w:rPr>
            <w:rFonts w:ascii="Arial" w:eastAsia="Calibri" w:hAnsi="Arial" w:cs="Arial"/>
            <w:color w:val="000000"/>
            <w:spacing w:val="-1"/>
            <w:sz w:val="24"/>
            <w:szCs w:val="24"/>
          </w:rPr>
          <w:t>rr</w:t>
        </w:r>
        <w:r w:rsidRPr="00C1069A">
          <w:rPr>
            <w:rFonts w:ascii="Arial" w:eastAsia="Calibri" w:hAnsi="Arial" w:cs="Arial"/>
            <w:color w:val="000000"/>
            <w:sz w:val="24"/>
            <w:szCs w:val="24"/>
          </w:rPr>
          <w:t>ed</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2"/>
            <w:sz w:val="24"/>
            <w:szCs w:val="24"/>
          </w:rPr>
          <w:t>t</w:t>
        </w:r>
        <w:r w:rsidRPr="00C1069A">
          <w:rPr>
            <w:rFonts w:ascii="Arial" w:eastAsia="Calibri" w:hAnsi="Arial" w:cs="Arial"/>
            <w:color w:val="000000"/>
            <w:sz w:val="24"/>
            <w:szCs w:val="24"/>
          </w:rPr>
          <w:t>o</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z w:val="24"/>
            <w:szCs w:val="24"/>
          </w:rPr>
          <w:t>t</w:t>
        </w:r>
        <w:r w:rsidRPr="00C1069A">
          <w:rPr>
            <w:rFonts w:ascii="Arial" w:eastAsia="Calibri" w:hAnsi="Arial" w:cs="Arial"/>
            <w:color w:val="000000"/>
            <w:spacing w:val="-1"/>
            <w:sz w:val="24"/>
            <w:szCs w:val="24"/>
          </w:rPr>
          <w:t>h</w:t>
        </w:r>
        <w:r w:rsidRPr="00C1069A">
          <w:rPr>
            <w:rFonts w:ascii="Arial" w:eastAsia="Calibri" w:hAnsi="Arial" w:cs="Arial"/>
            <w:color w:val="000000"/>
            <w:sz w:val="24"/>
            <w:szCs w:val="24"/>
          </w:rPr>
          <w:t>e</w:t>
        </w:r>
        <w:r w:rsidRPr="00C1069A">
          <w:rPr>
            <w:rFonts w:ascii="Arial" w:eastAsia="Calibri" w:hAnsi="Arial" w:cs="Arial"/>
            <w:color w:val="000000"/>
            <w:spacing w:val="2"/>
            <w:sz w:val="24"/>
            <w:szCs w:val="24"/>
          </w:rPr>
          <w:t xml:space="preserve"> </w:t>
        </w:r>
        <w:r w:rsidRPr="00C1069A">
          <w:rPr>
            <w:rFonts w:ascii="Arial" w:eastAsia="Calibri" w:hAnsi="Arial" w:cs="Arial"/>
            <w:color w:val="000000"/>
            <w:spacing w:val="-1"/>
            <w:sz w:val="24"/>
            <w:szCs w:val="24"/>
          </w:rPr>
          <w:t>a</w:t>
        </w:r>
        <w:r w:rsidRPr="00C1069A">
          <w:rPr>
            <w:rFonts w:ascii="Arial" w:eastAsia="Calibri" w:hAnsi="Arial" w:cs="Arial"/>
            <w:color w:val="000000"/>
            <w:sz w:val="24"/>
            <w:szCs w:val="24"/>
          </w:rPr>
          <w:t>pp</w:t>
        </w:r>
        <w:r w:rsidRPr="00C1069A">
          <w:rPr>
            <w:rFonts w:ascii="Arial" w:eastAsia="Calibri" w:hAnsi="Arial" w:cs="Arial"/>
            <w:color w:val="000000"/>
            <w:spacing w:val="-1"/>
            <w:sz w:val="24"/>
            <w:szCs w:val="24"/>
          </w:rPr>
          <w:t>ro</w:t>
        </w:r>
        <w:r w:rsidRPr="00C1069A">
          <w:rPr>
            <w:rFonts w:ascii="Arial" w:eastAsia="Calibri" w:hAnsi="Arial" w:cs="Arial"/>
            <w:color w:val="000000"/>
            <w:sz w:val="24"/>
            <w:szCs w:val="24"/>
          </w:rPr>
          <w:t>p</w:t>
        </w:r>
        <w:r w:rsidRPr="00C1069A">
          <w:rPr>
            <w:rFonts w:ascii="Arial" w:eastAsia="Calibri" w:hAnsi="Arial" w:cs="Arial"/>
            <w:color w:val="000000"/>
            <w:spacing w:val="-1"/>
            <w:sz w:val="24"/>
            <w:szCs w:val="24"/>
          </w:rPr>
          <w:t>ri</w:t>
        </w:r>
        <w:r w:rsidRPr="00C1069A">
          <w:rPr>
            <w:rFonts w:ascii="Arial" w:eastAsia="Calibri" w:hAnsi="Arial" w:cs="Arial"/>
            <w:color w:val="000000"/>
            <w:sz w:val="24"/>
            <w:szCs w:val="24"/>
          </w:rPr>
          <w:t>ate</w:t>
        </w:r>
        <w:r w:rsidRPr="00C1069A">
          <w:rPr>
            <w:rFonts w:ascii="Arial" w:eastAsia="Calibri" w:hAnsi="Arial" w:cs="Arial"/>
            <w:color w:val="000000"/>
            <w:spacing w:val="-1"/>
            <w:sz w:val="24"/>
            <w:szCs w:val="24"/>
          </w:rPr>
          <w:t xml:space="preserve"> </w:t>
        </w:r>
        <w:r w:rsidRPr="00C1069A">
          <w:rPr>
            <w:rFonts w:ascii="Arial" w:eastAsia="Calibri" w:hAnsi="Arial" w:cs="Arial"/>
            <w:color w:val="000000"/>
            <w:sz w:val="24"/>
            <w:szCs w:val="24"/>
          </w:rPr>
          <w:t>ed</w:t>
        </w:r>
        <w:r w:rsidRPr="00C1069A">
          <w:rPr>
            <w:rFonts w:ascii="Arial" w:eastAsia="Calibri" w:hAnsi="Arial" w:cs="Arial"/>
            <w:color w:val="000000"/>
            <w:spacing w:val="-1"/>
            <w:sz w:val="24"/>
            <w:szCs w:val="24"/>
          </w:rPr>
          <w:t>i</w:t>
        </w:r>
        <w:r w:rsidRPr="00C1069A">
          <w:rPr>
            <w:rFonts w:ascii="Arial" w:eastAsia="Calibri" w:hAnsi="Arial" w:cs="Arial"/>
            <w:color w:val="000000"/>
            <w:sz w:val="24"/>
            <w:szCs w:val="24"/>
          </w:rPr>
          <w:t>to</w:t>
        </w:r>
        <w:r w:rsidRPr="00C1069A">
          <w:rPr>
            <w:rFonts w:ascii="Arial" w:eastAsia="Calibri" w:hAnsi="Arial" w:cs="Arial"/>
            <w:color w:val="000000"/>
            <w:spacing w:val="-1"/>
            <w:sz w:val="24"/>
            <w:szCs w:val="24"/>
          </w:rPr>
          <w:t>r</w:t>
        </w:r>
        <w:r w:rsidRPr="00C1069A">
          <w:rPr>
            <w:rFonts w:ascii="Arial" w:eastAsia="Calibri" w:hAnsi="Arial" w:cs="Arial"/>
            <w:color w:val="000000"/>
            <w:sz w:val="24"/>
            <w:szCs w:val="24"/>
          </w:rPr>
          <w:t>.</w:t>
        </w:r>
      </w:hyperlink>
    </w:p>
    <w:p w14:paraId="1836E636" w14:textId="77777777" w:rsidR="00285777" w:rsidRPr="00285777" w:rsidRDefault="00285777" w:rsidP="00556AD2">
      <w:pPr>
        <w:spacing w:line="240" w:lineRule="auto"/>
        <w:rPr>
          <w:sz w:val="32"/>
          <w:szCs w:val="32"/>
        </w:rPr>
      </w:pPr>
    </w:p>
    <w:sectPr w:rsidR="00285777" w:rsidRPr="00285777" w:rsidSect="00086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69AB"/>
    <w:multiLevelType w:val="hybridMultilevel"/>
    <w:tmpl w:val="117C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905A91"/>
    <w:multiLevelType w:val="hybridMultilevel"/>
    <w:tmpl w:val="8FCE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9B"/>
    <w:rsid w:val="00086392"/>
    <w:rsid w:val="000E6C3E"/>
    <w:rsid w:val="00122BB7"/>
    <w:rsid w:val="00154EFA"/>
    <w:rsid w:val="00157B2D"/>
    <w:rsid w:val="001D6B2D"/>
    <w:rsid w:val="002418E7"/>
    <w:rsid w:val="002743A6"/>
    <w:rsid w:val="00285777"/>
    <w:rsid w:val="002A0DA6"/>
    <w:rsid w:val="002A489C"/>
    <w:rsid w:val="002D41C8"/>
    <w:rsid w:val="003020A9"/>
    <w:rsid w:val="0042596E"/>
    <w:rsid w:val="004667B5"/>
    <w:rsid w:val="00556AD2"/>
    <w:rsid w:val="00576399"/>
    <w:rsid w:val="00583D42"/>
    <w:rsid w:val="0058729B"/>
    <w:rsid w:val="005C352D"/>
    <w:rsid w:val="00635285"/>
    <w:rsid w:val="006B4397"/>
    <w:rsid w:val="006B7DFF"/>
    <w:rsid w:val="00713964"/>
    <w:rsid w:val="00795A99"/>
    <w:rsid w:val="007B5B98"/>
    <w:rsid w:val="007F773D"/>
    <w:rsid w:val="0090145C"/>
    <w:rsid w:val="00943511"/>
    <w:rsid w:val="00961CBE"/>
    <w:rsid w:val="00A406AE"/>
    <w:rsid w:val="00B27D52"/>
    <w:rsid w:val="00BA5574"/>
    <w:rsid w:val="00C1069A"/>
    <w:rsid w:val="00CD557B"/>
    <w:rsid w:val="00D17BB8"/>
    <w:rsid w:val="00D733A4"/>
    <w:rsid w:val="00DD4480"/>
    <w:rsid w:val="00F07A30"/>
    <w:rsid w:val="00F1153B"/>
    <w:rsid w:val="00F203BC"/>
    <w:rsid w:val="00F46ED7"/>
    <w:rsid w:val="00F67854"/>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C7C"/>
  <w15:chartTrackingRefBased/>
  <w15:docId w15:val="{52C56B41-113E-4DFC-9EFE-3D8EE69D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9B"/>
    <w:rPr>
      <w:color w:val="0563C1" w:themeColor="hyperlink"/>
      <w:u w:val="single"/>
    </w:rPr>
  </w:style>
  <w:style w:type="character" w:styleId="UnresolvedMention">
    <w:name w:val="Unresolved Mention"/>
    <w:basedOn w:val="DefaultParagraphFont"/>
    <w:uiPriority w:val="99"/>
    <w:semiHidden/>
    <w:unhideWhenUsed/>
    <w:rsid w:val="0058729B"/>
    <w:rPr>
      <w:color w:val="605E5C"/>
      <w:shd w:val="clear" w:color="auto" w:fill="E1DFDD"/>
    </w:rPr>
  </w:style>
  <w:style w:type="table" w:customStyle="1" w:styleId="TableGrid1">
    <w:name w:val="Table Grid1"/>
    <w:basedOn w:val="TableNormal"/>
    <w:next w:val="TableGrid"/>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8E7"/>
    <w:rPr>
      <w:color w:val="954F72" w:themeColor="followedHyperlink"/>
      <w:u w:val="single"/>
    </w:rPr>
  </w:style>
  <w:style w:type="character" w:styleId="CommentReference">
    <w:name w:val="annotation reference"/>
    <w:basedOn w:val="DefaultParagraphFont"/>
    <w:uiPriority w:val="99"/>
    <w:semiHidden/>
    <w:unhideWhenUsed/>
    <w:rsid w:val="00122BB7"/>
    <w:rPr>
      <w:sz w:val="16"/>
      <w:szCs w:val="16"/>
    </w:rPr>
  </w:style>
  <w:style w:type="paragraph" w:styleId="CommentText">
    <w:name w:val="annotation text"/>
    <w:basedOn w:val="Normal"/>
    <w:link w:val="CommentTextChar"/>
    <w:uiPriority w:val="99"/>
    <w:semiHidden/>
    <w:unhideWhenUsed/>
    <w:rsid w:val="00122BB7"/>
    <w:pPr>
      <w:spacing w:line="240" w:lineRule="auto"/>
    </w:pPr>
    <w:rPr>
      <w:sz w:val="20"/>
      <w:szCs w:val="20"/>
    </w:rPr>
  </w:style>
  <w:style w:type="character" w:customStyle="1" w:styleId="CommentTextChar">
    <w:name w:val="Comment Text Char"/>
    <w:basedOn w:val="DefaultParagraphFont"/>
    <w:link w:val="CommentText"/>
    <w:uiPriority w:val="99"/>
    <w:semiHidden/>
    <w:rsid w:val="00122BB7"/>
    <w:rPr>
      <w:sz w:val="20"/>
      <w:szCs w:val="20"/>
    </w:rPr>
  </w:style>
  <w:style w:type="paragraph" w:styleId="CommentSubject">
    <w:name w:val="annotation subject"/>
    <w:basedOn w:val="CommentText"/>
    <w:next w:val="CommentText"/>
    <w:link w:val="CommentSubjectChar"/>
    <w:uiPriority w:val="99"/>
    <w:semiHidden/>
    <w:unhideWhenUsed/>
    <w:rsid w:val="00122BB7"/>
    <w:rPr>
      <w:b/>
      <w:bCs/>
    </w:rPr>
  </w:style>
  <w:style w:type="character" w:customStyle="1" w:styleId="CommentSubjectChar">
    <w:name w:val="Comment Subject Char"/>
    <w:basedOn w:val="CommentTextChar"/>
    <w:link w:val="CommentSubject"/>
    <w:uiPriority w:val="99"/>
    <w:semiHidden/>
    <w:rsid w:val="00122BB7"/>
    <w:rPr>
      <w:b/>
      <w:bCs/>
      <w:sz w:val="20"/>
      <w:szCs w:val="20"/>
    </w:rPr>
  </w:style>
  <w:style w:type="paragraph" w:styleId="BalloonText">
    <w:name w:val="Balloon Text"/>
    <w:basedOn w:val="Normal"/>
    <w:link w:val="BalloonTextChar"/>
    <w:uiPriority w:val="99"/>
    <w:semiHidden/>
    <w:unhideWhenUsed/>
    <w:rsid w:val="0012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B7"/>
    <w:rPr>
      <w:rFonts w:ascii="Segoe UI" w:hAnsi="Segoe UI" w:cs="Segoe UI"/>
      <w:sz w:val="18"/>
      <w:szCs w:val="18"/>
    </w:rPr>
  </w:style>
  <w:style w:type="paragraph" w:styleId="ListParagraph">
    <w:name w:val="List Paragraph"/>
    <w:basedOn w:val="Normal"/>
    <w:uiPriority w:val="34"/>
    <w:qFormat/>
    <w:rsid w:val="00556AD2"/>
    <w:pPr>
      <w:spacing w:after="0" w:line="240" w:lineRule="auto"/>
      <w:ind w:left="720"/>
      <w:contextualSpacing/>
    </w:pPr>
    <w:rPr>
      <w:rFonts w:ascii="Calibri" w:hAnsi="Calibri" w:cs="Calibri"/>
    </w:rPr>
  </w:style>
  <w:style w:type="paragraph" w:customStyle="1" w:styleId="xmsonormal">
    <w:name w:val="x_msonormal"/>
    <w:basedOn w:val="Normal"/>
    <w:rsid w:val="00556AD2"/>
    <w:pPr>
      <w:spacing w:after="0" w:line="240" w:lineRule="auto"/>
    </w:pPr>
    <w:rPr>
      <w:rFonts w:ascii="Calibri" w:hAnsi="Calibri" w:cs="Calibri"/>
    </w:rPr>
  </w:style>
  <w:style w:type="character" w:styleId="Strong">
    <w:name w:val="Strong"/>
    <w:basedOn w:val="DefaultParagraphFont"/>
    <w:uiPriority w:val="22"/>
    <w:qFormat/>
    <w:rsid w:val="00556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3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itcard@OD.NIH.GOV" TargetMode="External"/><Relationship Id="rId13" Type="http://schemas.openxmlformats.org/officeDocument/2006/relationships/hyperlink" Target="https://hr.nih.gov/training-center/course-catalog/acquisitions-management" TargetMode="External"/><Relationship Id="rId18" Type="http://schemas.openxmlformats.org/officeDocument/2006/relationships/hyperlink" Target="http://oalm.od.nih.gov/GreenPurchasingForWebsite" TargetMode="External"/><Relationship Id="rId26" Type="http://schemas.openxmlformats.org/officeDocument/2006/relationships/hyperlink" Target="mailto:OALMnewsletter@mail.nih.gov" TargetMode="External"/><Relationship Id="rId3" Type="http://schemas.openxmlformats.org/officeDocument/2006/relationships/settings" Target="settings.xml"/><Relationship Id="rId21" Type="http://schemas.openxmlformats.org/officeDocument/2006/relationships/hyperlink" Target="mailto:NicholaM@od.nih.gov" TargetMode="External"/><Relationship Id="rId7" Type="http://schemas.openxmlformats.org/officeDocument/2006/relationships/hyperlink" Target="mailto:nvisionsupport@mail.nih.gov" TargetMode="External"/><Relationship Id="rId12" Type="http://schemas.openxmlformats.org/officeDocument/2006/relationships/hyperlink" Target="mailto:fraud@gao.gov" TargetMode="External"/><Relationship Id="rId17" Type="http://schemas.openxmlformats.org/officeDocument/2006/relationships/hyperlink" Target="http://training.cit.nih.gov/list.aspx?catId=14" TargetMode="External"/><Relationship Id="rId25" Type="http://schemas.openxmlformats.org/officeDocument/2006/relationships/hyperlink" Target="mailto:SolomonBJ@od.nih.gov" TargetMode="External"/><Relationship Id="rId2" Type="http://schemas.openxmlformats.org/officeDocument/2006/relationships/styles" Target="styles.xml"/><Relationship Id="rId16" Type="http://schemas.openxmlformats.org/officeDocument/2006/relationships/hyperlink" Target="https://www.dau.edu/training" TargetMode="External"/><Relationship Id="rId20" Type="http://schemas.openxmlformats.org/officeDocument/2006/relationships/hyperlink" Target="mailto:BPAProgramBranch@od.nih.gov" TargetMode="External"/><Relationship Id="rId1" Type="http://schemas.openxmlformats.org/officeDocument/2006/relationships/numbering" Target="numbering.xml"/><Relationship Id="rId6" Type="http://schemas.openxmlformats.org/officeDocument/2006/relationships/hyperlink" Target="https://nvision.nih.gov/" TargetMode="External"/><Relationship Id="rId11" Type="http://schemas.openxmlformats.org/officeDocument/2006/relationships/hyperlink" Target="http://www.gao.gov/fraudnet" TargetMode="External"/><Relationship Id="rId24" Type="http://schemas.openxmlformats.org/officeDocument/2006/relationships/hyperlink" Target="mailto:,%20or%20Barry" TargetMode="External"/><Relationship Id="rId5" Type="http://schemas.openxmlformats.org/officeDocument/2006/relationships/hyperlink" Target="https://oalmsps.od.nih.gov/OAMP/DSAPS/ASRB/SAPhD/SitePages/Home.aspx" TargetMode="External"/><Relationship Id="rId15" Type="http://schemas.openxmlformats.org/officeDocument/2006/relationships/hyperlink" Target="http://www.fai.gov/" TargetMode="External"/><Relationship Id="rId23" Type="http://schemas.openxmlformats.org/officeDocument/2006/relationships/hyperlink" Target="mailto:Jesse.Lee2@nih.gov" TargetMode="External"/><Relationship Id="rId28" Type="http://schemas.openxmlformats.org/officeDocument/2006/relationships/theme" Target="theme/theme1.xml"/><Relationship Id="rId10" Type="http://schemas.openxmlformats.org/officeDocument/2006/relationships/hyperlink" Target="mailto:NIHSC-customerservice@od.nih.gov" TargetMode="External"/><Relationship Id="rId19" Type="http://schemas.openxmlformats.org/officeDocument/2006/relationships/hyperlink" Target="http://oamp.od.nih.gov/dsaps/bpa-program" TargetMode="External"/><Relationship Id="rId4" Type="http://schemas.openxmlformats.org/officeDocument/2006/relationships/webSettings" Target="webSettings.xml"/><Relationship Id="rId9" Type="http://schemas.openxmlformats.org/officeDocument/2006/relationships/hyperlink" Target="https://nihsc1.od.nih.gov/sites/default/files/promo_announce_files/NIHSupplyCenterPersonalProtectiveEquipmentDisinfectingAndCleaningSuppliesThatcanBeOrderedMay11.pdf" TargetMode="External"/><Relationship Id="rId14" Type="http://schemas.openxmlformats.org/officeDocument/2006/relationships/hyperlink" Target="https://hr.nih.gov/training-center/course-catalog/acquisitions-management" TargetMode="External"/><Relationship Id="rId22" Type="http://schemas.openxmlformats.org/officeDocument/2006/relationships/hyperlink" Target="mailto:McDermottMl@od.nih.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2839</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Milton (NIH/OD) [E]</dc:creator>
  <cp:keywords/>
  <dc:description/>
  <cp:lastModifiedBy>Nicholas, Milton (NIH/OD) [E]</cp:lastModifiedBy>
  <cp:revision>2</cp:revision>
  <dcterms:created xsi:type="dcterms:W3CDTF">2020-05-22T16:46:00Z</dcterms:created>
  <dcterms:modified xsi:type="dcterms:W3CDTF">2020-05-22T16:46:00Z</dcterms:modified>
</cp:coreProperties>
</file>